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8" w:rsidRPr="00293C61" w:rsidRDefault="00F73AB8" w:rsidP="00F73AB8">
      <w:pPr>
        <w:pStyle w:val="FR1"/>
        <w:tabs>
          <w:tab w:val="left" w:pos="5420"/>
        </w:tabs>
        <w:spacing w:before="0"/>
        <w:ind w:left="0" w:right="0" w:firstLine="0"/>
        <w:rPr>
          <w:sz w:val="36"/>
          <w:lang w:val="ru-RU"/>
        </w:rPr>
      </w:pPr>
      <w:r w:rsidRPr="00293C61">
        <w:rPr>
          <w:sz w:val="28"/>
          <w:szCs w:val="28"/>
          <w:lang w:val="ru-RU"/>
        </w:rPr>
        <w:t>Правительство Российской Федерации</w:t>
      </w:r>
    </w:p>
    <w:p w:rsidR="00F73AB8" w:rsidRPr="00293C61" w:rsidRDefault="00F73AB8" w:rsidP="00F73AB8">
      <w:pPr>
        <w:pStyle w:val="FR1"/>
        <w:tabs>
          <w:tab w:val="left" w:pos="4569"/>
        </w:tabs>
        <w:spacing w:before="0"/>
        <w:ind w:left="-851" w:right="0" w:firstLine="0"/>
        <w:rPr>
          <w:sz w:val="36"/>
          <w:lang w:val="ru-RU"/>
        </w:rPr>
      </w:pPr>
    </w:p>
    <w:p w:rsidR="00F73AB8" w:rsidRPr="00293C61" w:rsidRDefault="00EF3EE2" w:rsidP="00F73AB8">
      <w:pPr>
        <w:pStyle w:val="FR1"/>
        <w:tabs>
          <w:tab w:val="left" w:pos="4569"/>
        </w:tabs>
        <w:spacing w:before="0"/>
        <w:ind w:left="-851" w:right="0" w:firstLine="0"/>
        <w:rPr>
          <w:sz w:val="36"/>
          <w:lang w:val="ru-RU"/>
        </w:rPr>
      </w:pPr>
      <w:r>
        <w:rPr>
          <w:color w:val="000000"/>
          <w:sz w:val="28"/>
          <w:szCs w:val="28"/>
          <w:lang w:val="ru-RU"/>
        </w:rPr>
        <w:t>Федеральное государственное</w:t>
      </w:r>
      <w:r w:rsidR="00F73AB8" w:rsidRPr="00293C6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автономное </w:t>
      </w:r>
      <w:r w:rsidR="00F73AB8" w:rsidRPr="00293C61">
        <w:rPr>
          <w:color w:val="000000"/>
          <w:sz w:val="28"/>
          <w:szCs w:val="28"/>
          <w:lang w:val="ru-RU"/>
        </w:rPr>
        <w:t>образовательное учреждение</w:t>
      </w:r>
    </w:p>
    <w:p w:rsidR="00F73AB8" w:rsidRPr="00293C61" w:rsidRDefault="00F73AB8" w:rsidP="00F73AB8">
      <w:pPr>
        <w:pStyle w:val="FR1"/>
        <w:tabs>
          <w:tab w:val="left" w:pos="4569"/>
        </w:tabs>
        <w:spacing w:before="0"/>
        <w:ind w:left="-851" w:right="0" w:firstLine="0"/>
        <w:rPr>
          <w:sz w:val="36"/>
          <w:lang w:val="ru-RU"/>
        </w:rPr>
      </w:pPr>
      <w:r w:rsidRPr="00293C61">
        <w:rPr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3AB8" w:rsidRPr="00293C61" w:rsidRDefault="00F73AB8" w:rsidP="00F73AB8">
      <w:pPr>
        <w:pStyle w:val="FR1"/>
        <w:tabs>
          <w:tab w:val="left" w:pos="4569"/>
        </w:tabs>
        <w:spacing w:before="0"/>
        <w:ind w:left="-851" w:right="0" w:firstLine="0"/>
        <w:rPr>
          <w:sz w:val="36"/>
          <w:lang w:val="ru-RU"/>
        </w:rPr>
      </w:pPr>
    </w:p>
    <w:p w:rsidR="00F73AB8" w:rsidRPr="00293C61" w:rsidRDefault="00F73AB8" w:rsidP="00F73AB8">
      <w:pPr>
        <w:pStyle w:val="FR1"/>
        <w:spacing w:before="0"/>
        <w:ind w:left="-851" w:right="0" w:firstLine="0"/>
        <w:rPr>
          <w:sz w:val="36"/>
          <w:lang w:val="ru-RU"/>
        </w:rPr>
      </w:pPr>
      <w:r w:rsidRPr="00293C61">
        <w:rPr>
          <w:sz w:val="28"/>
          <w:szCs w:val="28"/>
          <w:lang w:val="ru-RU"/>
        </w:rPr>
        <w:t xml:space="preserve">«Национальный </w:t>
      </w:r>
      <w:r w:rsidR="00EF3EE2">
        <w:rPr>
          <w:sz w:val="28"/>
          <w:szCs w:val="28"/>
          <w:lang w:val="ru-RU"/>
        </w:rPr>
        <w:t xml:space="preserve">исследовательский университет </w:t>
      </w:r>
      <w:r w:rsidRPr="00293C61">
        <w:rPr>
          <w:sz w:val="28"/>
          <w:szCs w:val="28"/>
          <w:lang w:val="ru-RU"/>
        </w:rPr>
        <w:br/>
        <w:t>Высшая школа экономики»</w:t>
      </w:r>
    </w:p>
    <w:p w:rsidR="00F73AB8" w:rsidRPr="00293C61" w:rsidRDefault="00F73AB8" w:rsidP="00F73AB8">
      <w:pPr>
        <w:widowControl w:val="0"/>
        <w:ind w:left="-851"/>
        <w:jc w:val="center"/>
        <w:rPr>
          <w:rFonts w:ascii="Times New Roman" w:hAnsi="Times New Roman" w:cs="Times New Roman"/>
          <w:sz w:val="22"/>
        </w:rPr>
      </w:pPr>
    </w:p>
    <w:p w:rsidR="00F73AB8" w:rsidRPr="00293C61" w:rsidRDefault="00F73AB8" w:rsidP="00F73AB8">
      <w:pPr>
        <w:ind w:left="-851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b/>
          <w:bCs/>
          <w:color w:val="1D1B11"/>
          <w:sz w:val="28"/>
          <w:szCs w:val="28"/>
        </w:rPr>
        <w:t>Факультет мировой экономики и мировой политики</w:t>
      </w:r>
    </w:p>
    <w:p w:rsidR="00F73AB8" w:rsidRPr="00293C61" w:rsidRDefault="00F73AB8" w:rsidP="00F73AB8">
      <w:pPr>
        <w:ind w:left="-851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b/>
          <w:color w:val="1D1B11"/>
          <w:sz w:val="28"/>
          <w:szCs w:val="28"/>
        </w:rPr>
        <w:t>Кафедра мировой экономики</w:t>
      </w:r>
    </w:p>
    <w:p w:rsidR="00F73AB8" w:rsidRPr="00293C61" w:rsidRDefault="00F73AB8" w:rsidP="00F73AB8">
      <w:pPr>
        <w:ind w:left="-851"/>
        <w:jc w:val="center"/>
        <w:rPr>
          <w:rFonts w:ascii="Times New Roman" w:hAnsi="Times New Roman" w:cs="Times New Roman"/>
          <w:sz w:val="22"/>
        </w:rPr>
      </w:pPr>
    </w:p>
    <w:p w:rsidR="00F73AB8" w:rsidRPr="00293C61" w:rsidRDefault="00F73AB8" w:rsidP="00F73AB8">
      <w:pPr>
        <w:ind w:left="-851"/>
        <w:jc w:val="center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b/>
          <w:bCs/>
          <w:color w:val="1D1B11"/>
          <w:sz w:val="28"/>
          <w:szCs w:val="28"/>
        </w:rPr>
        <w:t>ВЫПУСКНАЯ КВАЛИФИКАЦИОННАЯ РАБОТА</w:t>
      </w:r>
    </w:p>
    <w:p w:rsidR="00F73AB8" w:rsidRPr="00293C61" w:rsidRDefault="00F73AB8" w:rsidP="00F73AB8">
      <w:pPr>
        <w:ind w:left="-851"/>
        <w:jc w:val="center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</w:t>
      </w:r>
      <w:r w:rsidRPr="00293C61">
        <w:rPr>
          <w:rFonts w:ascii="Times New Roman" w:hAnsi="Times New Roman" w:cs="Times New Roman"/>
          <w:color w:val="1D1B11"/>
          <w:sz w:val="28"/>
          <w:szCs w:val="28"/>
        </w:rPr>
        <w:t>на тему</w:t>
      </w:r>
    </w:p>
    <w:p w:rsidR="00F73AB8" w:rsidRPr="00293C61" w:rsidRDefault="00F73AB8" w:rsidP="00F73AB8">
      <w:pPr>
        <w:widowControl w:val="0"/>
        <w:spacing w:after="0"/>
        <w:ind w:left="-851"/>
        <w:jc w:val="center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>«Формирования и реализация инновационной политики коалиционного правительства Великобритании</w:t>
      </w:r>
      <w:bookmarkStart w:id="0" w:name="_GoBack"/>
      <w:bookmarkEnd w:id="0"/>
      <w:r w:rsidRPr="00293C61">
        <w:rPr>
          <w:rFonts w:ascii="Times New Roman" w:hAnsi="Times New Roman" w:cs="Times New Roman"/>
          <w:sz w:val="28"/>
          <w:szCs w:val="28"/>
        </w:rPr>
        <w:t>»</w:t>
      </w:r>
    </w:p>
    <w:p w:rsidR="00F73AB8" w:rsidRPr="00293C61" w:rsidRDefault="00F73AB8" w:rsidP="00F73AB8">
      <w:pPr>
        <w:ind w:left="-567"/>
        <w:jc w:val="center"/>
        <w:rPr>
          <w:rFonts w:ascii="Times New Roman" w:hAnsi="Times New Roman" w:cs="Times New Roman"/>
          <w:sz w:val="22"/>
        </w:rPr>
      </w:pPr>
    </w:p>
    <w:p w:rsidR="00F73AB8" w:rsidRPr="00293C61" w:rsidRDefault="00F73AB8" w:rsidP="00F73AB8">
      <w:pPr>
        <w:ind w:left="-567"/>
        <w:rPr>
          <w:rFonts w:ascii="Times New Roman" w:hAnsi="Times New Roman" w:cs="Times New Roman"/>
          <w:sz w:val="22"/>
        </w:rPr>
      </w:pPr>
    </w:p>
    <w:p w:rsidR="00F73AB8" w:rsidRPr="00293C61" w:rsidRDefault="00F73AB8" w:rsidP="00F73AB8">
      <w:pPr>
        <w:tabs>
          <w:tab w:val="left" w:pos="8820"/>
        </w:tabs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              </w:t>
      </w:r>
    </w:p>
    <w:p w:rsidR="00F73AB8" w:rsidRPr="00293C61" w:rsidRDefault="00F73AB8" w:rsidP="00F73AB8">
      <w:pPr>
        <w:tabs>
          <w:tab w:val="left" w:pos="8253"/>
        </w:tabs>
        <w:ind w:left="-567"/>
        <w:jc w:val="right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>Студентка группы № 463</w:t>
      </w:r>
    </w:p>
    <w:p w:rsidR="00F73AB8" w:rsidRDefault="00F73AB8" w:rsidP="00293C61">
      <w:pPr>
        <w:tabs>
          <w:tab w:val="left" w:pos="8253"/>
        </w:tabs>
        <w:ind w:left="-567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>Шенгелия Саломе</w:t>
      </w:r>
      <w:r w:rsidR="00293C61">
        <w:rPr>
          <w:rFonts w:ascii="Times New Roman" w:hAnsi="Times New Roman" w:cs="Times New Roman"/>
          <w:color w:val="1D1B11"/>
          <w:sz w:val="28"/>
          <w:szCs w:val="28"/>
        </w:rPr>
        <w:t xml:space="preserve"> Ивановна</w:t>
      </w:r>
    </w:p>
    <w:p w:rsidR="00293C61" w:rsidRPr="00293C61" w:rsidRDefault="00293C61" w:rsidP="00293C61">
      <w:pPr>
        <w:tabs>
          <w:tab w:val="left" w:pos="8253"/>
        </w:tabs>
        <w:ind w:left="-567"/>
        <w:jc w:val="right"/>
        <w:rPr>
          <w:rFonts w:ascii="Times New Roman" w:hAnsi="Times New Roman" w:cs="Times New Roman"/>
          <w:sz w:val="22"/>
        </w:rPr>
      </w:pPr>
    </w:p>
    <w:p w:rsidR="00F73AB8" w:rsidRPr="00293C61" w:rsidRDefault="00F73AB8" w:rsidP="00F73AB8">
      <w:pPr>
        <w:tabs>
          <w:tab w:val="left" w:pos="8253"/>
        </w:tabs>
        <w:ind w:left="-567"/>
        <w:jc w:val="right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 xml:space="preserve">  Руководитель</w:t>
      </w:r>
      <w:r w:rsidR="00293C61">
        <w:rPr>
          <w:rFonts w:ascii="Times New Roman" w:hAnsi="Times New Roman" w:cs="Times New Roman"/>
          <w:color w:val="1D1B11"/>
          <w:sz w:val="28"/>
          <w:szCs w:val="28"/>
        </w:rPr>
        <w:t xml:space="preserve"> ВКР</w:t>
      </w:r>
    </w:p>
    <w:p w:rsidR="00F73AB8" w:rsidRPr="00293C61" w:rsidRDefault="00F73AB8" w:rsidP="00F73AB8">
      <w:pPr>
        <w:tabs>
          <w:tab w:val="left" w:pos="8253"/>
        </w:tabs>
        <w:ind w:left="-567"/>
        <w:jc w:val="right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>Д.э.н, профессор</w:t>
      </w:r>
    </w:p>
    <w:p w:rsidR="00F73AB8" w:rsidRPr="00293C61" w:rsidRDefault="00F73AB8" w:rsidP="00F73AB8">
      <w:pPr>
        <w:tabs>
          <w:tab w:val="left" w:pos="8253"/>
        </w:tabs>
        <w:ind w:left="-567"/>
        <w:jc w:val="right"/>
        <w:rPr>
          <w:rFonts w:ascii="Times New Roman" w:hAnsi="Times New Roman" w:cs="Times New Roman"/>
          <w:sz w:val="22"/>
        </w:r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 xml:space="preserve">Хесин Е.С. </w:t>
      </w:r>
      <w:r w:rsidRPr="00293C61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</w:t>
      </w:r>
    </w:p>
    <w:p w:rsidR="00F73AB8" w:rsidRPr="00293C61" w:rsidRDefault="00F73AB8" w:rsidP="00F73AB8">
      <w:pPr>
        <w:rPr>
          <w:rFonts w:ascii="Times New Roman" w:hAnsi="Times New Roman" w:cs="Times New Roman"/>
          <w:sz w:val="22"/>
        </w:rPr>
      </w:pPr>
    </w:p>
    <w:p w:rsidR="00F73AB8" w:rsidRDefault="00F73AB8" w:rsidP="00F73AB8">
      <w:pPr>
        <w:ind w:right="141"/>
        <w:rPr>
          <w:rFonts w:ascii="Times New Roman" w:hAnsi="Times New Roman" w:cs="Times New Roman"/>
          <w:sz w:val="22"/>
        </w:rPr>
      </w:pPr>
    </w:p>
    <w:p w:rsidR="00EF3EE2" w:rsidRDefault="00EF3EE2" w:rsidP="00F73AB8">
      <w:pPr>
        <w:ind w:right="141"/>
        <w:rPr>
          <w:rFonts w:ascii="Times New Roman" w:hAnsi="Times New Roman" w:cs="Times New Roman"/>
          <w:sz w:val="22"/>
        </w:rPr>
      </w:pPr>
    </w:p>
    <w:p w:rsidR="00EF3EE2" w:rsidRDefault="00EF3EE2" w:rsidP="00F73AB8">
      <w:pPr>
        <w:ind w:right="141"/>
        <w:rPr>
          <w:rFonts w:ascii="Times New Roman" w:hAnsi="Times New Roman" w:cs="Times New Roman"/>
          <w:sz w:val="22"/>
        </w:rPr>
      </w:pPr>
    </w:p>
    <w:p w:rsidR="00EF3EE2" w:rsidRPr="00293C61" w:rsidRDefault="00EF3EE2" w:rsidP="00F73AB8">
      <w:pPr>
        <w:ind w:right="141"/>
        <w:rPr>
          <w:rFonts w:ascii="Times New Roman" w:hAnsi="Times New Roman" w:cs="Times New Roman"/>
          <w:sz w:val="22"/>
        </w:rPr>
      </w:pPr>
    </w:p>
    <w:p w:rsidR="00F73AB8" w:rsidRPr="00293C61" w:rsidRDefault="00F73AB8" w:rsidP="00F73AB8">
      <w:pPr>
        <w:ind w:left="-567" w:right="141"/>
        <w:jc w:val="center"/>
        <w:rPr>
          <w:rFonts w:ascii="Times New Roman" w:hAnsi="Times New Roman" w:cs="Times New Roman"/>
          <w:sz w:val="22"/>
        </w:rPr>
        <w:sectPr w:rsidR="00F73AB8" w:rsidRPr="00293C61" w:rsidSect="00832790">
          <w:headerReference w:type="default" r:id="rId8"/>
          <w:footerReference w:type="default" r:id="rId9"/>
          <w:pgSz w:w="11906" w:h="16838"/>
          <w:pgMar w:top="1134" w:right="851" w:bottom="1134" w:left="1418" w:header="0" w:footer="709" w:gutter="0"/>
          <w:cols w:space="720"/>
          <w:formProt w:val="0"/>
          <w:titlePg/>
          <w:docGrid w:linePitch="360"/>
        </w:sectPr>
      </w:pPr>
      <w:r w:rsidRPr="00293C61">
        <w:rPr>
          <w:rFonts w:ascii="Times New Roman" w:hAnsi="Times New Roman" w:cs="Times New Roman"/>
          <w:color w:val="1D1B11"/>
          <w:sz w:val="28"/>
          <w:szCs w:val="28"/>
        </w:rPr>
        <w:t>Москва 20</w:t>
      </w:r>
      <w:r w:rsidR="00B62D81" w:rsidRPr="00293C61">
        <w:rPr>
          <w:rFonts w:ascii="Times New Roman" w:hAnsi="Times New Roman" w:cs="Times New Roman"/>
          <w:color w:val="1D1B11"/>
          <w:sz w:val="28"/>
          <w:szCs w:val="28"/>
        </w:rPr>
        <w:t>13</w:t>
      </w:r>
    </w:p>
    <w:sdt>
      <w:sdtPr>
        <w:rPr>
          <w:rFonts w:ascii="Times New Roman" w:eastAsia="Calibri" w:hAnsi="Times New Roman" w:cs="Arial"/>
          <w:b w:val="0"/>
          <w:bCs w:val="0"/>
          <w:color w:val="auto"/>
          <w:sz w:val="24"/>
          <w:szCs w:val="24"/>
        </w:rPr>
        <w:id w:val="160299938"/>
        <w:docPartObj>
          <w:docPartGallery w:val="Table of Contents"/>
          <w:docPartUnique/>
        </w:docPartObj>
      </w:sdtPr>
      <w:sdtEndPr>
        <w:rPr>
          <w:color w:val="000000"/>
        </w:rPr>
      </w:sdtEndPr>
      <w:sdtContent>
        <w:p w:rsidR="00B62D81" w:rsidRDefault="00B62D81" w:rsidP="00EF3EE2">
          <w:pPr>
            <w:pStyle w:val="a8"/>
            <w:spacing w:before="0" w:line="360" w:lineRule="auto"/>
            <w:ind w:left="-851"/>
            <w:jc w:val="both"/>
            <w:rPr>
              <w:rFonts w:ascii="Times New Roman" w:hAnsi="Times New Roman"/>
              <w:b w:val="0"/>
              <w:color w:val="auto"/>
            </w:rPr>
          </w:pPr>
          <w:r w:rsidRPr="007A66B7">
            <w:rPr>
              <w:rFonts w:ascii="Times New Roman" w:hAnsi="Times New Roman"/>
              <w:b w:val="0"/>
              <w:color w:val="auto"/>
            </w:rPr>
            <w:t xml:space="preserve">Содержание </w:t>
          </w:r>
        </w:p>
        <w:p w:rsidR="00EF3EE2" w:rsidRPr="00EF3EE2" w:rsidRDefault="00EF3EE2" w:rsidP="00EF3EE2"/>
        <w:p w:rsidR="00B62D81" w:rsidRPr="007A66B7" w:rsidRDefault="00B62D81" w:rsidP="00EF3EE2">
          <w:pPr>
            <w:pStyle w:val="11"/>
            <w:spacing w:after="0" w:line="360" w:lineRule="auto"/>
            <w:rPr>
              <w:b w:val="0"/>
            </w:rPr>
          </w:pPr>
          <w:r w:rsidRPr="007A66B7">
            <w:rPr>
              <w:b w:val="0"/>
            </w:rPr>
            <w:t>Введение</w:t>
          </w:r>
          <w:r w:rsidRPr="007A66B7">
            <w:rPr>
              <w:b w:val="0"/>
            </w:rPr>
            <w:ptab w:relativeTo="margin" w:alignment="right" w:leader="dot"/>
          </w:r>
          <w:r w:rsidRPr="007A66B7">
            <w:rPr>
              <w:b w:val="0"/>
            </w:rPr>
            <w:t>3</w:t>
          </w:r>
        </w:p>
        <w:p w:rsidR="00B62D81" w:rsidRPr="007A66B7" w:rsidRDefault="00B62D81" w:rsidP="00EF3EE2">
          <w:pPr>
            <w:pStyle w:val="2"/>
            <w:spacing w:after="0" w:line="360" w:lineRule="auto"/>
            <w:ind w:left="-851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>Глава 1. Сущность государственной инновационной политики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576FB9" w:rsidRPr="007A66B7">
            <w:rPr>
              <w:rFonts w:ascii="Times New Roman" w:hAnsi="Times New Roman"/>
              <w:sz w:val="28"/>
              <w:szCs w:val="28"/>
            </w:rPr>
            <w:t>6</w:t>
          </w:r>
        </w:p>
        <w:p w:rsidR="00B62D81" w:rsidRPr="007A66B7" w:rsidRDefault="00B62D81" w:rsidP="00EF3EE2">
          <w:pPr>
            <w:pStyle w:val="3"/>
            <w:numPr>
              <w:ilvl w:val="1"/>
              <w:numId w:val="13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>Инновации и их роль в развитии современной экономики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576FB9" w:rsidRPr="007A66B7">
            <w:rPr>
              <w:rFonts w:ascii="Times New Roman" w:hAnsi="Times New Roman"/>
              <w:sz w:val="28"/>
              <w:szCs w:val="28"/>
            </w:rPr>
            <w:t>6</w:t>
          </w:r>
        </w:p>
        <w:p w:rsidR="00B62D81" w:rsidRPr="007A66B7" w:rsidRDefault="00B62D81" w:rsidP="00EF3EE2">
          <w:pPr>
            <w:pStyle w:val="3"/>
            <w:numPr>
              <w:ilvl w:val="1"/>
              <w:numId w:val="13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>Роль государства в стимулировании инновационной деятельности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A5060B" w:rsidRPr="007A66B7">
            <w:rPr>
              <w:rFonts w:ascii="Times New Roman" w:hAnsi="Times New Roman"/>
              <w:sz w:val="28"/>
              <w:szCs w:val="28"/>
            </w:rPr>
            <w:t>11</w:t>
          </w:r>
        </w:p>
        <w:p w:rsidR="00B62D81" w:rsidRPr="0070074C" w:rsidRDefault="00B62D81" w:rsidP="00EF3EE2">
          <w:pPr>
            <w:pStyle w:val="11"/>
            <w:spacing w:after="0" w:line="360" w:lineRule="auto"/>
            <w:rPr>
              <w:b w:val="0"/>
            </w:rPr>
          </w:pPr>
          <w:r w:rsidRPr="007A66B7">
            <w:rPr>
              <w:b w:val="0"/>
            </w:rPr>
            <w:t>Глава 2. Инновационная политика правительства Великобритании</w:t>
          </w:r>
          <w:r w:rsidRPr="007A66B7">
            <w:rPr>
              <w:b w:val="0"/>
            </w:rPr>
            <w:ptab w:relativeTo="margin" w:alignment="right" w:leader="dot"/>
          </w:r>
          <w:r w:rsidR="00157E56" w:rsidRPr="007A66B7">
            <w:rPr>
              <w:b w:val="0"/>
              <w:lang w:val="en-US"/>
            </w:rPr>
            <w:t>1</w:t>
          </w:r>
          <w:r w:rsidR="0070074C">
            <w:rPr>
              <w:b w:val="0"/>
            </w:rPr>
            <w:t>3</w:t>
          </w:r>
        </w:p>
        <w:p w:rsidR="00B62D81" w:rsidRPr="007A66B7" w:rsidRDefault="00B62D81" w:rsidP="00EF3EE2">
          <w:pPr>
            <w:pStyle w:val="3"/>
            <w:numPr>
              <w:ilvl w:val="1"/>
              <w:numId w:val="14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>Формирование инновационной политики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157E56" w:rsidRPr="007A66B7">
            <w:rPr>
              <w:rFonts w:ascii="Times New Roman" w:hAnsi="Times New Roman"/>
              <w:sz w:val="28"/>
              <w:szCs w:val="28"/>
              <w:lang w:val="en-US"/>
            </w:rPr>
            <w:t>1</w:t>
          </w:r>
          <w:r w:rsidR="0070074C">
            <w:rPr>
              <w:rFonts w:ascii="Times New Roman" w:hAnsi="Times New Roman"/>
              <w:sz w:val="28"/>
              <w:szCs w:val="28"/>
            </w:rPr>
            <w:t>3</w:t>
          </w:r>
        </w:p>
        <w:p w:rsidR="00B62D81" w:rsidRPr="007A66B7" w:rsidRDefault="00A5060B" w:rsidP="00EF3EE2">
          <w:pPr>
            <w:pStyle w:val="3"/>
            <w:numPr>
              <w:ilvl w:val="1"/>
              <w:numId w:val="14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>Приоритеты инновационной политики</w:t>
          </w:r>
          <w:r w:rsidR="00B62D81"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0074C">
            <w:rPr>
              <w:rFonts w:ascii="Times New Roman" w:hAnsi="Times New Roman"/>
              <w:sz w:val="28"/>
              <w:szCs w:val="28"/>
            </w:rPr>
            <w:t>15</w:t>
          </w:r>
        </w:p>
        <w:p w:rsidR="00B62D81" w:rsidRPr="007A66B7" w:rsidRDefault="00B62D81" w:rsidP="00EF3EE2">
          <w:pPr>
            <w:pStyle w:val="3"/>
            <w:numPr>
              <w:ilvl w:val="1"/>
              <w:numId w:val="14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 xml:space="preserve">Частно-государственное партнерство в сфере инноваций 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0074C">
            <w:rPr>
              <w:rFonts w:ascii="Times New Roman" w:hAnsi="Times New Roman"/>
              <w:sz w:val="28"/>
              <w:szCs w:val="28"/>
            </w:rPr>
            <w:t>20</w:t>
          </w:r>
        </w:p>
        <w:p w:rsidR="00B62D81" w:rsidRPr="007A66B7" w:rsidRDefault="00B62D81" w:rsidP="00EF3EE2">
          <w:pPr>
            <w:pStyle w:val="3"/>
            <w:numPr>
              <w:ilvl w:val="1"/>
              <w:numId w:val="14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 xml:space="preserve">Механизмы поддержки и финансирования деятельности малого и среднего бизнеса 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0074C">
            <w:rPr>
              <w:rFonts w:ascii="Times New Roman" w:hAnsi="Times New Roman"/>
              <w:sz w:val="28"/>
              <w:szCs w:val="28"/>
            </w:rPr>
            <w:t>24</w:t>
          </w:r>
        </w:p>
        <w:p w:rsidR="00B62D81" w:rsidRPr="007A66B7" w:rsidRDefault="00B62D81" w:rsidP="00EF3EE2">
          <w:pPr>
            <w:pStyle w:val="2"/>
            <w:spacing w:after="0" w:line="360" w:lineRule="auto"/>
            <w:ind w:left="-851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>Глава 3. Эффективность инновационной политики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0074C">
            <w:rPr>
              <w:rFonts w:ascii="Times New Roman" w:hAnsi="Times New Roman"/>
              <w:sz w:val="28"/>
              <w:szCs w:val="28"/>
            </w:rPr>
            <w:t>32</w:t>
          </w:r>
        </w:p>
        <w:p w:rsidR="00B62D81" w:rsidRPr="007A66B7" w:rsidRDefault="00B62D81" w:rsidP="00EF3EE2">
          <w:pPr>
            <w:pStyle w:val="a7"/>
            <w:numPr>
              <w:ilvl w:val="0"/>
              <w:numId w:val="14"/>
            </w:numPr>
            <w:suppressAutoHyphens w:val="0"/>
            <w:spacing w:after="0" w:line="360" w:lineRule="auto"/>
            <w:ind w:left="-851" w:firstLine="0"/>
            <w:contextualSpacing w:val="0"/>
            <w:jc w:val="both"/>
            <w:rPr>
              <w:rFonts w:ascii="Times New Roman" w:eastAsia="Times New Roman" w:hAnsi="Times New Roman" w:cs="Times New Roman"/>
              <w:vanish/>
              <w:color w:val="auto"/>
              <w:sz w:val="28"/>
              <w:szCs w:val="28"/>
            </w:rPr>
          </w:pPr>
        </w:p>
        <w:p w:rsidR="00B62D81" w:rsidRPr="007A66B7" w:rsidRDefault="00B62D81" w:rsidP="00EF3EE2">
          <w:pPr>
            <w:pStyle w:val="3"/>
            <w:numPr>
              <w:ilvl w:val="1"/>
              <w:numId w:val="14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 xml:space="preserve">Проблемы  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0074C">
            <w:rPr>
              <w:rFonts w:ascii="Times New Roman" w:hAnsi="Times New Roman"/>
              <w:sz w:val="28"/>
              <w:szCs w:val="28"/>
            </w:rPr>
            <w:t>32</w:t>
          </w:r>
        </w:p>
        <w:p w:rsidR="00B62D81" w:rsidRPr="007A66B7" w:rsidRDefault="00B62D81" w:rsidP="00EF3EE2">
          <w:pPr>
            <w:pStyle w:val="3"/>
            <w:numPr>
              <w:ilvl w:val="1"/>
              <w:numId w:val="14"/>
            </w:numPr>
            <w:spacing w:after="0" w:line="360" w:lineRule="auto"/>
            <w:ind w:left="0" w:firstLine="0"/>
            <w:rPr>
              <w:rFonts w:ascii="Times New Roman" w:hAnsi="Times New Roman"/>
              <w:sz w:val="28"/>
              <w:szCs w:val="28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 xml:space="preserve">Возможные совершенствования существующей политики 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032079">
            <w:rPr>
              <w:rFonts w:ascii="Times New Roman" w:hAnsi="Times New Roman"/>
              <w:sz w:val="28"/>
              <w:szCs w:val="28"/>
            </w:rPr>
            <w:t>3</w:t>
          </w:r>
          <w:r w:rsidR="0070074C">
            <w:rPr>
              <w:rFonts w:ascii="Times New Roman" w:hAnsi="Times New Roman"/>
              <w:sz w:val="28"/>
              <w:szCs w:val="28"/>
            </w:rPr>
            <w:t>4</w:t>
          </w:r>
        </w:p>
        <w:p w:rsidR="006D0167" w:rsidRPr="00F444CE" w:rsidRDefault="00B62D81" w:rsidP="00EF3EE2">
          <w:pPr>
            <w:pStyle w:val="2"/>
            <w:spacing w:after="0" w:line="360" w:lineRule="auto"/>
            <w:ind w:left="-851"/>
            <w:rPr>
              <w:rFonts w:ascii="Times New Roman" w:hAnsi="Times New Roman"/>
              <w:sz w:val="28"/>
              <w:szCs w:val="28"/>
              <w:lang w:val="en-US"/>
            </w:rPr>
          </w:pPr>
          <w:r w:rsidRPr="007A66B7">
            <w:rPr>
              <w:rFonts w:ascii="Times New Roman" w:hAnsi="Times New Roman"/>
              <w:sz w:val="28"/>
              <w:szCs w:val="28"/>
            </w:rPr>
            <w:t>Заключение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032079">
            <w:rPr>
              <w:rFonts w:ascii="Times New Roman" w:hAnsi="Times New Roman"/>
              <w:sz w:val="28"/>
              <w:szCs w:val="28"/>
            </w:rPr>
            <w:t>3</w:t>
          </w:r>
          <w:r w:rsidR="00F444CE">
            <w:rPr>
              <w:rFonts w:ascii="Times New Roman" w:hAnsi="Times New Roman"/>
              <w:sz w:val="28"/>
              <w:szCs w:val="28"/>
              <w:lang w:val="en-US"/>
            </w:rPr>
            <w:t>7</w:t>
          </w:r>
        </w:p>
        <w:p w:rsidR="00032079" w:rsidRPr="00F444CE" w:rsidRDefault="009B6110" w:rsidP="00EF3EE2">
          <w:pPr>
            <w:spacing w:line="360" w:lineRule="auto"/>
            <w:ind w:left="-851"/>
            <w:jc w:val="both"/>
            <w:rPr>
              <w:rFonts w:ascii="Times New Roman" w:hAnsi="Times New Roman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sz w:val="28"/>
              <w:szCs w:val="28"/>
            </w:rPr>
            <w:t>С</w:t>
          </w:r>
          <w:r w:rsidR="006D0167" w:rsidRPr="007A66B7">
            <w:rPr>
              <w:rFonts w:ascii="Times New Roman" w:hAnsi="Times New Roman"/>
              <w:sz w:val="28"/>
              <w:szCs w:val="28"/>
            </w:rPr>
            <w:t>писок</w:t>
          </w:r>
          <w:r>
            <w:rPr>
              <w:rFonts w:ascii="Times New Roman" w:hAnsi="Times New Roman"/>
              <w:sz w:val="28"/>
              <w:szCs w:val="28"/>
            </w:rPr>
            <w:t xml:space="preserve"> использованной литературы</w:t>
          </w:r>
          <w:r w:rsidR="006D0167"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444CE">
            <w:rPr>
              <w:rFonts w:ascii="Times New Roman" w:hAnsi="Times New Roman"/>
              <w:sz w:val="28"/>
              <w:szCs w:val="28"/>
              <w:lang w:val="en-US"/>
            </w:rPr>
            <w:t>40</w:t>
          </w:r>
        </w:p>
        <w:p w:rsidR="00B62D81" w:rsidRPr="003932B5" w:rsidRDefault="003932B5" w:rsidP="003932B5">
          <w:pPr>
            <w:spacing w:line="360" w:lineRule="auto"/>
            <w:ind w:left="-85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Приложения</w:t>
          </w:r>
          <w:r w:rsidRPr="007A66B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4</w:t>
          </w:r>
          <w:r w:rsidR="00F444CE">
            <w:rPr>
              <w:rFonts w:ascii="Times New Roman" w:hAnsi="Times New Roman"/>
              <w:sz w:val="28"/>
              <w:szCs w:val="28"/>
              <w:lang w:val="en-US"/>
            </w:rPr>
            <w:t>4</w:t>
          </w:r>
        </w:p>
      </w:sdtContent>
    </w:sdt>
    <w:p w:rsidR="00F73AB8" w:rsidRPr="00913268" w:rsidRDefault="00F73AB8" w:rsidP="009132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3268" w:rsidRPr="00913268" w:rsidRDefault="00913268" w:rsidP="00F73AB8">
      <w:pPr>
        <w:ind w:left="-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3AB8" w:rsidRPr="001B3F77" w:rsidRDefault="00F73AB8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</w:p>
    <w:p w:rsidR="00F73AB8" w:rsidRDefault="00F73AB8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</w:p>
    <w:p w:rsidR="00B62D81" w:rsidRDefault="00B62D81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</w:p>
    <w:p w:rsidR="00B62D81" w:rsidRDefault="00B62D81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</w:p>
    <w:p w:rsidR="00B62D81" w:rsidRDefault="00B62D81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</w:p>
    <w:p w:rsidR="00B62D81" w:rsidRDefault="00B62D81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</w:p>
    <w:p w:rsidR="00B62D81" w:rsidRDefault="00B62D81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</w:p>
    <w:p w:rsidR="00F3207F" w:rsidRPr="001B3F77" w:rsidRDefault="00F3207F" w:rsidP="00F73AB8">
      <w:pPr>
        <w:spacing w:before="120" w:after="120" w:line="360" w:lineRule="auto"/>
        <w:rPr>
          <w:rFonts w:ascii="Times New Roman" w:hAnsi="Times New Roman" w:cs="Times New Roman"/>
        </w:rPr>
      </w:pPr>
    </w:p>
    <w:p w:rsidR="00F73AB8" w:rsidRPr="001B3F77" w:rsidRDefault="00F73AB8" w:rsidP="00F73AB8">
      <w:pPr>
        <w:spacing w:before="120" w:after="120" w:line="360" w:lineRule="auto"/>
        <w:ind w:left="-851" w:firstLine="851"/>
        <w:rPr>
          <w:rFonts w:ascii="Times New Roman" w:hAnsi="Times New Roman" w:cs="Times New Roman"/>
        </w:rPr>
      </w:pPr>
      <w:r w:rsidRPr="007A66B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4474C" w:rsidRDefault="00F73AB8" w:rsidP="00A4474C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>Современный мир отличается переходом все большего числа развитых стран от индустриальной к постиндустриальной, или инновационной экономике, базирующейся на информационном обществе. Инновации сегодня являются одной из главных движущих сил экономического роста. Они необходимы для того, чтобы отвечать на существующие и постоянно возникающие и меняющиеся новые глобальные вызовы. Инновации играют ключевую роль в повышении качества жизни населения развитых стран. Научно-технический прогресс ставит государства перед необходимостью использования новых механизмов стимулирования научной деятельности и разработок, внедрения новшеств. В результате, как ответ на вызов современности, в системе государств формируется такой механизм регулирования, как инновационная политика.</w:t>
      </w:r>
    </w:p>
    <w:p w:rsidR="001C543E" w:rsidRDefault="008A1279" w:rsidP="00A4474C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коалиционное правительство Великобритании</w:t>
      </w:r>
      <w:r w:rsidR="00FF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65">
        <w:rPr>
          <w:rFonts w:ascii="Times New Roman" w:hAnsi="Times New Roman" w:cs="Times New Roman"/>
          <w:sz w:val="28"/>
          <w:szCs w:val="28"/>
        </w:rPr>
        <w:t>поставило перед собой</w:t>
      </w:r>
      <w:r w:rsidR="00FB4549">
        <w:rPr>
          <w:rFonts w:ascii="Times New Roman" w:hAnsi="Times New Roman" w:cs="Times New Roman"/>
          <w:sz w:val="28"/>
          <w:szCs w:val="28"/>
        </w:rPr>
        <w:t xml:space="preserve"> амбициозную</w:t>
      </w:r>
      <w:r w:rsidR="002C7E65">
        <w:rPr>
          <w:rFonts w:ascii="Times New Roman" w:hAnsi="Times New Roman" w:cs="Times New Roman"/>
          <w:sz w:val="28"/>
          <w:szCs w:val="28"/>
        </w:rPr>
        <w:t xml:space="preserve"> цель </w:t>
      </w:r>
      <w:r w:rsidR="00FB4549">
        <w:rPr>
          <w:rFonts w:ascii="Times New Roman" w:hAnsi="Times New Roman" w:cs="Times New Roman"/>
          <w:sz w:val="28"/>
          <w:szCs w:val="28"/>
        </w:rPr>
        <w:t xml:space="preserve">– превратить страну в </w:t>
      </w:r>
      <w:r w:rsidR="00FB55EB">
        <w:rPr>
          <w:rFonts w:ascii="Times New Roman" w:hAnsi="Times New Roman" w:cs="Times New Roman"/>
          <w:sz w:val="28"/>
          <w:szCs w:val="28"/>
        </w:rPr>
        <w:t xml:space="preserve">ведущее </w:t>
      </w:r>
      <w:r w:rsidR="0094219B">
        <w:rPr>
          <w:rFonts w:ascii="Times New Roman" w:hAnsi="Times New Roman" w:cs="Times New Roman"/>
          <w:sz w:val="28"/>
          <w:szCs w:val="28"/>
        </w:rPr>
        <w:t>государство</w:t>
      </w:r>
      <w:r w:rsidR="00FF7FC7">
        <w:rPr>
          <w:rFonts w:ascii="Times New Roman" w:hAnsi="Times New Roman" w:cs="Times New Roman"/>
          <w:sz w:val="28"/>
          <w:szCs w:val="28"/>
        </w:rPr>
        <w:t xml:space="preserve"> </w:t>
      </w:r>
      <w:r w:rsidR="007A2293">
        <w:rPr>
          <w:rFonts w:ascii="Times New Roman" w:hAnsi="Times New Roman" w:cs="Times New Roman"/>
          <w:sz w:val="28"/>
          <w:szCs w:val="28"/>
        </w:rPr>
        <w:t>с</w:t>
      </w:r>
      <w:r w:rsidR="00FB4549">
        <w:rPr>
          <w:rFonts w:ascii="Times New Roman" w:hAnsi="Times New Roman" w:cs="Times New Roman"/>
          <w:sz w:val="28"/>
          <w:szCs w:val="28"/>
        </w:rPr>
        <w:t xml:space="preserve"> наиболее благоприятны</w:t>
      </w:r>
      <w:r w:rsidR="007A2293">
        <w:rPr>
          <w:rFonts w:ascii="Times New Roman" w:hAnsi="Times New Roman" w:cs="Times New Roman"/>
          <w:sz w:val="28"/>
          <w:szCs w:val="28"/>
        </w:rPr>
        <w:t>ми</w:t>
      </w:r>
      <w:r w:rsidR="00FB454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4219B">
        <w:rPr>
          <w:rFonts w:ascii="Times New Roman" w:hAnsi="Times New Roman" w:cs="Times New Roman"/>
          <w:sz w:val="28"/>
          <w:szCs w:val="28"/>
        </w:rPr>
        <w:t>ями</w:t>
      </w:r>
      <w:r w:rsidR="00FB4549">
        <w:rPr>
          <w:rFonts w:ascii="Times New Roman" w:hAnsi="Times New Roman" w:cs="Times New Roman"/>
          <w:sz w:val="28"/>
          <w:szCs w:val="28"/>
        </w:rPr>
        <w:t xml:space="preserve"> для реализации инноваций различных сферах экономики.</w:t>
      </w:r>
      <w:r w:rsidR="000952BC" w:rsidRPr="000952BC">
        <w:rPr>
          <w:rFonts w:ascii="Times New Roman" w:hAnsi="Times New Roman" w:cs="Times New Roman"/>
          <w:sz w:val="28"/>
          <w:szCs w:val="28"/>
        </w:rPr>
        <w:t xml:space="preserve"> </w:t>
      </w:r>
      <w:r w:rsidR="001C543E">
        <w:rPr>
          <w:rFonts w:ascii="Times New Roman" w:hAnsi="Times New Roman" w:cs="Times New Roman"/>
          <w:sz w:val="28"/>
          <w:szCs w:val="28"/>
        </w:rPr>
        <w:t xml:space="preserve">В настоящее время экономика страны переживает застой, который последовал за спадом предыдущих лет.  Сокращение дефицита государственного бюджета, </w:t>
      </w:r>
      <w:r w:rsidR="002F6116">
        <w:rPr>
          <w:rFonts w:ascii="Times New Roman" w:hAnsi="Times New Roman" w:cs="Times New Roman"/>
          <w:sz w:val="28"/>
          <w:szCs w:val="28"/>
        </w:rPr>
        <w:t xml:space="preserve">решение таких  проблем, как высокий уровень безработицы и инфляции, стабилизация общей экономической ситуации являются приоритетными задачами для британского правительства. </w:t>
      </w:r>
      <w:r w:rsidR="001C543E">
        <w:rPr>
          <w:rFonts w:ascii="Times New Roman" w:hAnsi="Times New Roman" w:cs="Times New Roman"/>
          <w:sz w:val="28"/>
          <w:szCs w:val="28"/>
        </w:rPr>
        <w:t>Тем не менее,</w:t>
      </w:r>
      <w:r w:rsidR="003B1CBF">
        <w:rPr>
          <w:rFonts w:ascii="Times New Roman" w:hAnsi="Times New Roman" w:cs="Times New Roman"/>
          <w:sz w:val="28"/>
          <w:szCs w:val="28"/>
        </w:rPr>
        <w:t xml:space="preserve"> акцент на</w:t>
      </w:r>
      <w:r w:rsidR="001C543E">
        <w:rPr>
          <w:rFonts w:ascii="Times New Roman" w:hAnsi="Times New Roman" w:cs="Times New Roman"/>
          <w:sz w:val="28"/>
          <w:szCs w:val="28"/>
        </w:rPr>
        <w:t xml:space="preserve"> </w:t>
      </w:r>
      <w:r w:rsidR="003B1CBF">
        <w:rPr>
          <w:rFonts w:ascii="Times New Roman" w:hAnsi="Times New Roman" w:cs="Times New Roman"/>
          <w:sz w:val="28"/>
          <w:szCs w:val="28"/>
        </w:rPr>
        <w:t xml:space="preserve">стимулировании инновационной деятельности остается долгосрочной </w:t>
      </w:r>
      <w:r w:rsidR="001C543E">
        <w:rPr>
          <w:rFonts w:ascii="Times New Roman" w:hAnsi="Times New Roman" w:cs="Times New Roman"/>
          <w:sz w:val="28"/>
          <w:szCs w:val="28"/>
        </w:rPr>
        <w:t xml:space="preserve"> </w:t>
      </w:r>
      <w:r w:rsidR="003B1CBF">
        <w:rPr>
          <w:rFonts w:ascii="Times New Roman" w:hAnsi="Times New Roman" w:cs="Times New Roman"/>
          <w:sz w:val="28"/>
          <w:szCs w:val="28"/>
        </w:rPr>
        <w:t>стратегией государства.</w:t>
      </w:r>
    </w:p>
    <w:p w:rsidR="00AF3395" w:rsidRDefault="00FB4549" w:rsidP="00FF7FC7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Соединенное Королевство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принадлежит к числу мировых лидеров в области исследований, родиной таких </w:t>
      </w:r>
      <w:r w:rsidR="001B752C">
        <w:rPr>
          <w:rFonts w:ascii="Times New Roman" w:hAnsi="Times New Roman" w:cs="Times New Roman"/>
          <w:sz w:val="28"/>
          <w:szCs w:val="28"/>
        </w:rPr>
        <w:t>университетов</w:t>
      </w:r>
      <w:r w:rsidR="00F73AB8" w:rsidRPr="001B3F77">
        <w:rPr>
          <w:rFonts w:ascii="Times New Roman" w:hAnsi="Times New Roman" w:cs="Times New Roman"/>
          <w:sz w:val="28"/>
          <w:szCs w:val="28"/>
        </w:rPr>
        <w:t>, как Кембр</w:t>
      </w:r>
      <w:r w:rsidR="003D5E39">
        <w:rPr>
          <w:rFonts w:ascii="Times New Roman" w:hAnsi="Times New Roman" w:cs="Times New Roman"/>
          <w:sz w:val="28"/>
          <w:szCs w:val="28"/>
        </w:rPr>
        <w:t>идж, Оксфорд, Имперский Колледж</w:t>
      </w:r>
      <w:r w:rsidR="003D5E39" w:rsidRPr="003D5E39">
        <w:rPr>
          <w:rFonts w:ascii="Times New Roman" w:hAnsi="Times New Roman" w:cs="Times New Roman"/>
          <w:sz w:val="28"/>
          <w:szCs w:val="28"/>
        </w:rPr>
        <w:t xml:space="preserve">,  </w:t>
      </w:r>
      <w:r w:rsidR="00F73AB8" w:rsidRPr="001B3F77">
        <w:rPr>
          <w:rFonts w:ascii="Times New Roman" w:hAnsi="Times New Roman" w:cs="Times New Roman"/>
          <w:sz w:val="28"/>
          <w:szCs w:val="28"/>
        </w:rPr>
        <w:t>входящих в число ведущих</w:t>
      </w:r>
      <w:r w:rsidR="00103D25">
        <w:rPr>
          <w:rFonts w:ascii="Times New Roman" w:hAnsi="Times New Roman" w:cs="Times New Roman"/>
          <w:sz w:val="28"/>
          <w:szCs w:val="28"/>
        </w:rPr>
        <w:t xml:space="preserve"> </w:t>
      </w:r>
      <w:r w:rsidR="001B752C" w:rsidRPr="001B3F77">
        <w:rPr>
          <w:rFonts w:ascii="Times New Roman" w:hAnsi="Times New Roman" w:cs="Times New Roman"/>
          <w:sz w:val="28"/>
          <w:szCs w:val="28"/>
        </w:rPr>
        <w:t>в обл</w:t>
      </w:r>
      <w:r w:rsidR="001B752C">
        <w:rPr>
          <w:rFonts w:ascii="Times New Roman" w:hAnsi="Times New Roman" w:cs="Times New Roman"/>
          <w:sz w:val="28"/>
          <w:szCs w:val="28"/>
        </w:rPr>
        <w:t xml:space="preserve">асти осуществления научной деятельности </w:t>
      </w:r>
      <w:r w:rsidR="00103D25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="008A1279">
        <w:rPr>
          <w:rFonts w:ascii="Times New Roman" w:hAnsi="Times New Roman" w:cs="Times New Roman"/>
          <w:sz w:val="28"/>
          <w:szCs w:val="28"/>
        </w:rPr>
        <w:t>. До 2000-х гг. правительство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8A1279">
        <w:rPr>
          <w:rFonts w:ascii="Times New Roman" w:hAnsi="Times New Roman" w:cs="Times New Roman"/>
          <w:sz w:val="28"/>
          <w:szCs w:val="28"/>
        </w:rPr>
        <w:t>ы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не проводило целенаправленн</w:t>
      </w:r>
      <w:r w:rsidR="008A1279">
        <w:rPr>
          <w:rFonts w:ascii="Times New Roman" w:hAnsi="Times New Roman" w:cs="Times New Roman"/>
          <w:sz w:val="28"/>
          <w:szCs w:val="28"/>
        </w:rPr>
        <w:t>ую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централизованн</w:t>
      </w:r>
      <w:r w:rsidR="008A1279">
        <w:rPr>
          <w:rFonts w:ascii="Times New Roman" w:hAnsi="Times New Roman" w:cs="Times New Roman"/>
          <w:sz w:val="28"/>
          <w:szCs w:val="28"/>
        </w:rPr>
        <w:t>ую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8A1279">
        <w:rPr>
          <w:rFonts w:ascii="Times New Roman" w:hAnsi="Times New Roman" w:cs="Times New Roman"/>
          <w:sz w:val="28"/>
          <w:szCs w:val="28"/>
        </w:rPr>
        <w:t>у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по стимулированию и развитию инноваций. В 2003 г. Министерство торговли и промышленности Великобритании опубликовало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правительственную 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стратегию в сфере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="00F73AB8" w:rsidRPr="001B3F77">
        <w:rPr>
          <w:rFonts w:ascii="Times New Roman" w:hAnsi="Times New Roman" w:cs="Times New Roman"/>
          <w:sz w:val="28"/>
          <w:szCs w:val="28"/>
        </w:rPr>
        <w:t>тех</w:t>
      </w:r>
      <w:r w:rsidR="000952BC">
        <w:rPr>
          <w:rFonts w:ascii="Times New Roman" w:hAnsi="Times New Roman" w:cs="Times New Roman"/>
          <w:sz w:val="28"/>
          <w:szCs w:val="28"/>
        </w:rPr>
        <w:t>нологического развития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. Однако наиболее целостная инновационная стратегия долгосрочного </w:t>
      </w:r>
      <w:r w:rsidR="00F73AB8" w:rsidRPr="001B3F77">
        <w:rPr>
          <w:rFonts w:ascii="Times New Roman" w:hAnsi="Times New Roman" w:cs="Times New Roman"/>
          <w:sz w:val="28"/>
          <w:szCs w:val="28"/>
        </w:rPr>
        <w:lastRenderedPageBreak/>
        <w:t>развития Британии была сформулирована лишь к 2008 г.</w:t>
      </w:r>
      <w:r w:rsidR="008B76B7">
        <w:rPr>
          <w:rFonts w:ascii="Times New Roman" w:hAnsi="Times New Roman" w:cs="Times New Roman"/>
          <w:sz w:val="28"/>
          <w:szCs w:val="28"/>
        </w:rPr>
        <w:t xml:space="preserve">, основанная на </w:t>
      </w:r>
      <w:r w:rsidR="00FF7FC7">
        <w:rPr>
          <w:rFonts w:ascii="Times New Roman" w:hAnsi="Times New Roman" w:cs="Times New Roman"/>
          <w:sz w:val="28"/>
          <w:szCs w:val="28"/>
        </w:rPr>
        <w:t>Белой книг</w:t>
      </w:r>
      <w:r w:rsidR="008B76B7">
        <w:rPr>
          <w:rFonts w:ascii="Times New Roman" w:hAnsi="Times New Roman" w:cs="Times New Roman"/>
          <w:sz w:val="28"/>
          <w:szCs w:val="28"/>
        </w:rPr>
        <w:t>е</w:t>
      </w:r>
      <w:r w:rsidR="00FF7FC7">
        <w:rPr>
          <w:rFonts w:ascii="Times New Roman" w:hAnsi="Times New Roman" w:cs="Times New Roman"/>
          <w:sz w:val="28"/>
          <w:szCs w:val="28"/>
        </w:rPr>
        <w:t xml:space="preserve"> «Инновационная нация»</w:t>
      </w:r>
      <w:r w:rsidR="008B76B7">
        <w:rPr>
          <w:rFonts w:ascii="Times New Roman" w:hAnsi="Times New Roman" w:cs="Times New Roman"/>
          <w:sz w:val="28"/>
          <w:szCs w:val="28"/>
        </w:rPr>
        <w:t>, и рассчитанная</w:t>
      </w:r>
      <w:r w:rsidR="00AF3395">
        <w:rPr>
          <w:rFonts w:ascii="Times New Roman" w:hAnsi="Times New Roman" w:cs="Times New Roman"/>
          <w:sz w:val="28"/>
          <w:szCs w:val="28"/>
        </w:rPr>
        <w:t xml:space="preserve"> до 2014 г.</w:t>
      </w:r>
    </w:p>
    <w:p w:rsidR="00F73AB8" w:rsidRDefault="000952BC" w:rsidP="00AF339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я политика </w:t>
      </w:r>
      <w:r w:rsidR="00AF3395">
        <w:rPr>
          <w:rFonts w:ascii="Times New Roman" w:hAnsi="Times New Roman" w:cs="Times New Roman"/>
          <w:sz w:val="28"/>
          <w:szCs w:val="28"/>
        </w:rPr>
        <w:t xml:space="preserve">Великобритании </w:t>
      </w:r>
      <w:r w:rsidR="00F73AB8" w:rsidRPr="001B3F77">
        <w:rPr>
          <w:rFonts w:ascii="Times New Roman" w:hAnsi="Times New Roman" w:cs="Times New Roman"/>
          <w:sz w:val="28"/>
          <w:szCs w:val="28"/>
        </w:rPr>
        <w:t>имеет в качестве главных целей поддержание научного развития страны на мировом уровне, стимулирование и укрепление сотрудничества между университетами и бизнесом, коммерциализаци</w:t>
      </w:r>
      <w:r w:rsidR="00FF7FC7">
        <w:rPr>
          <w:rFonts w:ascii="Times New Roman" w:hAnsi="Times New Roman" w:cs="Times New Roman"/>
          <w:sz w:val="28"/>
          <w:szCs w:val="28"/>
        </w:rPr>
        <w:t>ю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передовых технологий и развитие и совершенствование научно-технологической базы.</w:t>
      </w:r>
      <w:r w:rsidR="00FF7FC7">
        <w:rPr>
          <w:rFonts w:ascii="Times New Roman" w:hAnsi="Times New Roman" w:cs="Times New Roman"/>
          <w:sz w:val="28"/>
          <w:szCs w:val="28"/>
        </w:rPr>
        <w:t xml:space="preserve"> </w:t>
      </w:r>
      <w:r w:rsidR="00F73AB8" w:rsidRPr="001B3F77">
        <w:rPr>
          <w:rFonts w:ascii="Times New Roman" w:hAnsi="Times New Roman" w:cs="Times New Roman"/>
          <w:sz w:val="28"/>
          <w:szCs w:val="28"/>
        </w:rPr>
        <w:t>Коалиционное правительство консерваторов и либерал-демократов намерено превратить Великобританию в ведущую в мире страну с позиции экономики знаний, главным образом путем реализации</w:t>
      </w:r>
      <w:r w:rsidR="00FF7FC7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стратегии «Инновационная нация». Поскольку действие существующей программы инновационной политики Великобритании подходит к концу, </w:t>
      </w:r>
      <w:r w:rsidR="00F73AB8" w:rsidRPr="00447372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заключается в анализе того, были ли достигнуты поставленные в стратегии цели, иными словами в изучении степени эффективности реализации инновационной политики, чему и посвящена настоящая работа.</w:t>
      </w:r>
    </w:p>
    <w:p w:rsidR="002F6116" w:rsidRPr="00AF3395" w:rsidRDefault="00A4474C" w:rsidP="00A4474C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фактически имеет три раздела. </w:t>
      </w:r>
      <w:r w:rsidR="004702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первой части </w:t>
      </w:r>
      <w:r w:rsidR="0047022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F6116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ы теоретические аспекты </w:t>
      </w:r>
      <w:r w:rsidR="00B229D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политики. Вторая часть посвящена рассмотрению </w:t>
      </w:r>
      <w:r w:rsidR="002F6116">
        <w:rPr>
          <w:rFonts w:ascii="Times New Roman" w:hAnsi="Times New Roman" w:cs="Times New Roman"/>
          <w:sz w:val="28"/>
          <w:szCs w:val="28"/>
        </w:rPr>
        <w:t>посткзризисн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B229D4">
        <w:rPr>
          <w:rFonts w:ascii="Times New Roman" w:hAnsi="Times New Roman" w:cs="Times New Roman"/>
          <w:sz w:val="28"/>
          <w:szCs w:val="28"/>
        </w:rPr>
        <w:t xml:space="preserve"> </w:t>
      </w:r>
      <w:r w:rsidR="00470229">
        <w:rPr>
          <w:rFonts w:ascii="Times New Roman" w:hAnsi="Times New Roman" w:cs="Times New Roman"/>
          <w:sz w:val="28"/>
          <w:szCs w:val="28"/>
        </w:rPr>
        <w:t>инновационной политики Великобритании, а также</w:t>
      </w:r>
      <w:r w:rsidR="00812CF9">
        <w:rPr>
          <w:rFonts w:ascii="Times New Roman" w:hAnsi="Times New Roman" w:cs="Times New Roman"/>
          <w:sz w:val="28"/>
          <w:szCs w:val="28"/>
        </w:rPr>
        <w:t xml:space="preserve"> ее</w:t>
      </w:r>
      <w:r w:rsidR="0047022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F6116">
        <w:rPr>
          <w:rFonts w:ascii="Times New Roman" w:hAnsi="Times New Roman" w:cs="Times New Roman"/>
          <w:sz w:val="28"/>
          <w:szCs w:val="28"/>
        </w:rPr>
        <w:t xml:space="preserve"> </w:t>
      </w:r>
      <w:r w:rsidR="00470229">
        <w:rPr>
          <w:rFonts w:ascii="Times New Roman" w:hAnsi="Times New Roman" w:cs="Times New Roman"/>
          <w:sz w:val="28"/>
          <w:szCs w:val="28"/>
        </w:rPr>
        <w:t xml:space="preserve">и </w:t>
      </w:r>
      <w:r w:rsidR="002F6116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B00F1E">
        <w:rPr>
          <w:rFonts w:ascii="Times New Roman" w:hAnsi="Times New Roman" w:cs="Times New Roman"/>
          <w:sz w:val="28"/>
          <w:szCs w:val="28"/>
        </w:rPr>
        <w:t>в</w:t>
      </w:r>
      <w:r w:rsidR="00686E4B">
        <w:rPr>
          <w:rFonts w:ascii="Times New Roman" w:hAnsi="Times New Roman" w:cs="Times New Roman"/>
          <w:sz w:val="28"/>
          <w:szCs w:val="28"/>
        </w:rPr>
        <w:t xml:space="preserve"> </w:t>
      </w:r>
      <w:r w:rsidR="002F6116">
        <w:rPr>
          <w:rFonts w:ascii="Times New Roman" w:hAnsi="Times New Roman" w:cs="Times New Roman"/>
          <w:sz w:val="28"/>
          <w:szCs w:val="28"/>
        </w:rPr>
        <w:t xml:space="preserve">ближайшее десятилетие. </w:t>
      </w:r>
      <w:r w:rsidR="006A695B">
        <w:rPr>
          <w:rFonts w:ascii="Times New Roman" w:hAnsi="Times New Roman" w:cs="Times New Roman"/>
          <w:sz w:val="28"/>
          <w:szCs w:val="28"/>
        </w:rPr>
        <w:t>Также п</w:t>
      </w:r>
      <w:r w:rsidR="002F6116">
        <w:rPr>
          <w:rFonts w:ascii="Times New Roman" w:hAnsi="Times New Roman" w:cs="Times New Roman"/>
          <w:sz w:val="28"/>
          <w:szCs w:val="28"/>
        </w:rPr>
        <w:t xml:space="preserve">оказано, </w:t>
      </w:r>
      <w:r w:rsidR="00B00F1E">
        <w:rPr>
          <w:rFonts w:ascii="Times New Roman" w:hAnsi="Times New Roman" w:cs="Times New Roman"/>
          <w:sz w:val="28"/>
          <w:szCs w:val="28"/>
        </w:rPr>
        <w:t>с какими проблемами сталкивается</w:t>
      </w:r>
      <w:r w:rsidR="00470229">
        <w:rPr>
          <w:rFonts w:ascii="Times New Roman" w:hAnsi="Times New Roman" w:cs="Times New Roman"/>
          <w:sz w:val="28"/>
          <w:szCs w:val="28"/>
        </w:rPr>
        <w:t xml:space="preserve"> </w:t>
      </w:r>
      <w:r w:rsidR="00B00F1E">
        <w:rPr>
          <w:rFonts w:ascii="Times New Roman" w:hAnsi="Times New Roman" w:cs="Times New Roman"/>
          <w:sz w:val="28"/>
          <w:szCs w:val="28"/>
        </w:rPr>
        <w:t xml:space="preserve">сфера инновационной политики на пути своего развития. Кроме того, </w:t>
      </w:r>
      <w:r w:rsidR="00536702">
        <w:rPr>
          <w:rFonts w:ascii="Times New Roman" w:hAnsi="Times New Roman" w:cs="Times New Roman"/>
          <w:sz w:val="28"/>
          <w:szCs w:val="28"/>
        </w:rPr>
        <w:t>проанализировано</w:t>
      </w:r>
      <w:r w:rsidR="00E951EA">
        <w:rPr>
          <w:rFonts w:ascii="Times New Roman" w:hAnsi="Times New Roman" w:cs="Times New Roman"/>
          <w:sz w:val="28"/>
          <w:szCs w:val="28"/>
        </w:rPr>
        <w:t>, насколько эффективен действующий механизм</w:t>
      </w:r>
      <w:r w:rsidR="00470229">
        <w:rPr>
          <w:rFonts w:ascii="Times New Roman" w:hAnsi="Times New Roman" w:cs="Times New Roman"/>
          <w:sz w:val="28"/>
          <w:szCs w:val="28"/>
        </w:rPr>
        <w:t xml:space="preserve"> </w:t>
      </w:r>
      <w:r w:rsidR="00E951EA">
        <w:rPr>
          <w:rFonts w:ascii="Times New Roman" w:hAnsi="Times New Roman" w:cs="Times New Roman"/>
          <w:sz w:val="28"/>
          <w:szCs w:val="28"/>
        </w:rPr>
        <w:t>реализации долгосрочной политики. Наконец, в работе с</w:t>
      </w:r>
      <w:r w:rsidR="00812CF9">
        <w:rPr>
          <w:rFonts w:ascii="Times New Roman" w:hAnsi="Times New Roman" w:cs="Times New Roman"/>
          <w:sz w:val="28"/>
          <w:szCs w:val="28"/>
        </w:rPr>
        <w:t xml:space="preserve">делан основной вывод о том, что, несмотря на нестабильную экономическую ситуацию в стране, </w:t>
      </w:r>
      <w:r w:rsidR="00B00F1E">
        <w:rPr>
          <w:rFonts w:ascii="Times New Roman" w:hAnsi="Times New Roman" w:cs="Times New Roman"/>
          <w:sz w:val="28"/>
          <w:szCs w:val="28"/>
        </w:rPr>
        <w:t>стимулирование инновационного процесса в целях ускорения экономического роста  остается приоритетным для коалиционного правительства.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576FB9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1B3F77">
        <w:rPr>
          <w:rFonts w:ascii="Times New Roman" w:hAnsi="Times New Roman" w:cs="Times New Roman"/>
          <w:sz w:val="28"/>
          <w:szCs w:val="28"/>
        </w:rPr>
        <w:t xml:space="preserve"> данной работы является инновационная политика правительства Великобритании в период с 2010 г., в то время как </w:t>
      </w:r>
      <w:r w:rsidRPr="00576FB9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4933FB">
        <w:rPr>
          <w:rFonts w:ascii="Times New Roman" w:hAnsi="Times New Roman" w:cs="Times New Roman"/>
          <w:sz w:val="28"/>
          <w:szCs w:val="28"/>
        </w:rPr>
        <w:t xml:space="preserve"> изучения является </w:t>
      </w:r>
      <w:r w:rsidRPr="001B3F77">
        <w:rPr>
          <w:rFonts w:ascii="Times New Roman" w:hAnsi="Times New Roman" w:cs="Times New Roman"/>
          <w:sz w:val="28"/>
          <w:szCs w:val="28"/>
        </w:rPr>
        <w:t>эффективност</w:t>
      </w:r>
      <w:r w:rsidR="00273689">
        <w:rPr>
          <w:rFonts w:ascii="Times New Roman" w:hAnsi="Times New Roman" w:cs="Times New Roman"/>
          <w:sz w:val="28"/>
          <w:szCs w:val="28"/>
        </w:rPr>
        <w:t>ь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4933F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B3F77">
        <w:rPr>
          <w:rFonts w:ascii="Times New Roman" w:hAnsi="Times New Roman" w:cs="Times New Roman"/>
          <w:sz w:val="28"/>
          <w:szCs w:val="28"/>
        </w:rPr>
        <w:t>долгосрочной национальной инновационной политики.</w:t>
      </w:r>
    </w:p>
    <w:p w:rsidR="00135132" w:rsidRPr="00135132" w:rsidRDefault="00F73AB8" w:rsidP="0013513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B9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1B3F77">
        <w:rPr>
          <w:rFonts w:ascii="Times New Roman" w:hAnsi="Times New Roman" w:cs="Times New Roman"/>
          <w:sz w:val="28"/>
          <w:szCs w:val="28"/>
        </w:rPr>
        <w:t xml:space="preserve"> исследования является изучение</w:t>
      </w:r>
      <w:r w:rsidR="00135132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Pr="001B3F77">
        <w:rPr>
          <w:rFonts w:ascii="Times New Roman" w:hAnsi="Times New Roman" w:cs="Times New Roman"/>
          <w:sz w:val="28"/>
          <w:szCs w:val="28"/>
        </w:rPr>
        <w:t xml:space="preserve"> механизма реализации</w:t>
      </w:r>
      <w:r w:rsidR="00DD5AAA">
        <w:rPr>
          <w:rFonts w:ascii="Times New Roman" w:hAnsi="Times New Roman" w:cs="Times New Roman"/>
          <w:sz w:val="28"/>
          <w:szCs w:val="28"/>
        </w:rPr>
        <w:t xml:space="preserve"> правительственной инновационной политики</w:t>
      </w:r>
      <w:r w:rsidR="00135132">
        <w:rPr>
          <w:rFonts w:ascii="Times New Roman" w:hAnsi="Times New Roman" w:cs="Times New Roman"/>
          <w:sz w:val="28"/>
          <w:szCs w:val="28"/>
        </w:rPr>
        <w:t xml:space="preserve"> Великобритании, а также анализ </w:t>
      </w:r>
      <w:r w:rsidR="006D0167">
        <w:rPr>
          <w:rFonts w:ascii="Times New Roman" w:hAnsi="Times New Roman" w:cs="Times New Roman"/>
          <w:sz w:val="28"/>
          <w:szCs w:val="28"/>
        </w:rPr>
        <w:t>степени</w:t>
      </w:r>
      <w:r w:rsidR="00135132">
        <w:rPr>
          <w:rFonts w:ascii="Times New Roman" w:hAnsi="Times New Roman" w:cs="Times New Roman"/>
          <w:sz w:val="28"/>
          <w:szCs w:val="28"/>
        </w:rPr>
        <w:t xml:space="preserve"> его эффективности.</w:t>
      </w:r>
      <w:r w:rsidR="006D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В рамках данной цели был поставлены следующие </w:t>
      </w:r>
      <w:r w:rsidRPr="00576FB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B3F77">
        <w:rPr>
          <w:rFonts w:ascii="Times New Roman" w:hAnsi="Times New Roman" w:cs="Times New Roman"/>
          <w:sz w:val="28"/>
          <w:szCs w:val="28"/>
        </w:rPr>
        <w:t>:</w:t>
      </w:r>
    </w:p>
    <w:p w:rsidR="00F73AB8" w:rsidRPr="001B3F77" w:rsidRDefault="00F73AB8" w:rsidP="00F73AB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Раскрыть содержание понятия инновации и показать их роль в развитии экономики;</w:t>
      </w:r>
    </w:p>
    <w:p w:rsidR="00F73AB8" w:rsidRPr="001B3F77" w:rsidRDefault="00F73AB8" w:rsidP="00F73AB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Рассмотреть формирование и реализацию инновационной политики правительства Великобритании на современном этапе;</w:t>
      </w:r>
    </w:p>
    <w:p w:rsidR="00F73AB8" w:rsidRPr="001B3F77" w:rsidRDefault="00F73AB8" w:rsidP="00F73AB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Проанализировать эффективность действующего механизма реализации инновационной политики.</w:t>
      </w:r>
    </w:p>
    <w:p w:rsidR="00470229" w:rsidRPr="00832790" w:rsidRDefault="00F73AB8" w:rsidP="0083279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470229">
        <w:rPr>
          <w:rFonts w:ascii="Times New Roman" w:hAnsi="Times New Roman" w:cs="Times New Roman"/>
          <w:sz w:val="28"/>
          <w:szCs w:val="28"/>
        </w:rPr>
        <w:t>возможные пути совершенствования существующей</w:t>
      </w:r>
      <w:r w:rsidRPr="001B3F77">
        <w:rPr>
          <w:rFonts w:ascii="Times New Roman" w:hAnsi="Times New Roman" w:cs="Times New Roman"/>
          <w:sz w:val="28"/>
          <w:szCs w:val="28"/>
        </w:rPr>
        <w:t xml:space="preserve"> инновационной политики.</w:t>
      </w:r>
    </w:p>
    <w:p w:rsidR="00470229" w:rsidRPr="004B1763" w:rsidRDefault="00FA38D4" w:rsidP="00832790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452">
        <w:rPr>
          <w:rFonts w:ascii="Times New Roman" w:hAnsi="Times New Roman" w:cs="Times New Roman"/>
          <w:b/>
          <w:sz w:val="28"/>
          <w:szCs w:val="28"/>
        </w:rPr>
        <w:t>М</w:t>
      </w:r>
      <w:r w:rsidR="00832790" w:rsidRPr="00BF1452">
        <w:rPr>
          <w:rFonts w:ascii="Times New Roman" w:hAnsi="Times New Roman" w:cs="Times New Roman"/>
          <w:b/>
          <w:sz w:val="28"/>
          <w:szCs w:val="28"/>
        </w:rPr>
        <w:t>етодологической баз</w:t>
      </w:r>
      <w:r w:rsidRPr="00BF1452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63">
        <w:rPr>
          <w:rFonts w:ascii="Times New Roman" w:hAnsi="Times New Roman" w:cs="Times New Roman"/>
          <w:sz w:val="28"/>
          <w:szCs w:val="28"/>
        </w:rPr>
        <w:t>рабо</w:t>
      </w:r>
      <w:r w:rsidR="008327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является изучение и анализ</w:t>
      </w:r>
      <w:r w:rsidR="00832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широкого круга </w:t>
      </w:r>
      <w:r w:rsidR="00832790">
        <w:rPr>
          <w:rFonts w:ascii="Times New Roman" w:hAnsi="Times New Roman" w:cs="Times New Roman"/>
          <w:sz w:val="28"/>
          <w:szCs w:val="28"/>
        </w:rPr>
        <w:t>источников научной литературы, среди которых</w:t>
      </w:r>
      <w:r w:rsidR="004B1763"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="00832790">
        <w:rPr>
          <w:rFonts w:ascii="Times New Roman" w:hAnsi="Times New Roman" w:cs="Times New Roman"/>
          <w:sz w:val="28"/>
          <w:szCs w:val="28"/>
        </w:rPr>
        <w:t xml:space="preserve"> современных специалистов в области инноваций</w:t>
      </w:r>
      <w:r w:rsidR="004B1763">
        <w:rPr>
          <w:rFonts w:ascii="Times New Roman" w:hAnsi="Times New Roman" w:cs="Times New Roman"/>
          <w:sz w:val="28"/>
          <w:szCs w:val="28"/>
        </w:rPr>
        <w:t xml:space="preserve">, статьи авторитетных российских и зарубежных авторов, официальные </w:t>
      </w:r>
      <w:r w:rsidR="00832790">
        <w:rPr>
          <w:rFonts w:ascii="Times New Roman" w:hAnsi="Times New Roman" w:cs="Times New Roman"/>
          <w:sz w:val="28"/>
          <w:szCs w:val="28"/>
        </w:rPr>
        <w:t>электронные ресурсы</w:t>
      </w:r>
      <w:r w:rsidR="004B1763">
        <w:rPr>
          <w:rFonts w:ascii="Times New Roman" w:hAnsi="Times New Roman" w:cs="Times New Roman"/>
          <w:sz w:val="28"/>
          <w:szCs w:val="28"/>
        </w:rPr>
        <w:t>, статьи по выбранной темат</w:t>
      </w:r>
      <w:r>
        <w:rPr>
          <w:rFonts w:ascii="Times New Roman" w:hAnsi="Times New Roman" w:cs="Times New Roman"/>
          <w:sz w:val="28"/>
          <w:szCs w:val="28"/>
        </w:rPr>
        <w:t>ике, а также статистические базы.</w:t>
      </w: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FB9" w:rsidRDefault="00576FB9" w:rsidP="000952BC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790" w:rsidRDefault="00832790" w:rsidP="00B901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1CF" w:rsidRPr="00B901CF" w:rsidRDefault="00B901CF" w:rsidP="00B901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229" w:rsidRDefault="00470229" w:rsidP="0081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23DF" w:rsidRPr="00816F7B" w:rsidRDefault="003723DF" w:rsidP="0081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3AB8" w:rsidRPr="004B1763" w:rsidRDefault="00F73AB8" w:rsidP="007A66B7">
      <w:pPr>
        <w:pStyle w:val="a7"/>
        <w:numPr>
          <w:ilvl w:val="0"/>
          <w:numId w:val="4"/>
        </w:numPr>
        <w:spacing w:after="0" w:line="360" w:lineRule="auto"/>
        <w:ind w:left="0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3723DF">
        <w:rPr>
          <w:rFonts w:ascii="Times New Roman" w:hAnsi="Times New Roman" w:cs="Times New Roman"/>
          <w:sz w:val="32"/>
          <w:szCs w:val="28"/>
        </w:rPr>
        <w:lastRenderedPageBreak/>
        <w:t>Сущность государственной инновационной политики</w:t>
      </w:r>
    </w:p>
    <w:p w:rsidR="00F73AB8" w:rsidRPr="004B1763" w:rsidRDefault="00F73AB8" w:rsidP="007A66B7">
      <w:pPr>
        <w:pStyle w:val="a7"/>
        <w:numPr>
          <w:ilvl w:val="1"/>
          <w:numId w:val="4"/>
        </w:numPr>
        <w:spacing w:after="240" w:line="360" w:lineRule="auto"/>
        <w:ind w:left="0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1763">
        <w:rPr>
          <w:rFonts w:ascii="Times New Roman" w:hAnsi="Times New Roman" w:cs="Times New Roman"/>
          <w:sz w:val="28"/>
          <w:szCs w:val="28"/>
        </w:rPr>
        <w:t>Инновации и их роль в развитии современной экономики</w:t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Инновации появились в результате необходимости отвечать на возникающие вызовы, соответствовать технологическому прогрессу и удовлетворять новые общественные потребности. Инновация представляет собой результат научной деятельности, который получает воплощение в виде нового продукта, доведенный до стадии коммерческого пользования, внедренный и распространяющийся на рынке, в виде нового товара или технологии. Инновации позволяют повысить эффективность функционирования общественного производства, уровень удовлетворения потребностей общества, а также обеспечить улучшение жизнедеятельности общества.</w:t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 xml:space="preserve">Существует множество определений термина «инновация». Как экономическое понятие, этот термин был введен в научный оборот австрийским экономистом Й. Шумпетером еще в 1912 г., в работе «Теория экономического развития». Он определял инновацию, как коммерциализацию всех новых комбинаций (каждый конкретный акт производства), основанных на: 1) введении новых товаров и услуг; 2) применении новых материалов и компонентов (новые источники сырья); 3) внедрении новых методов производства; 4) открытие новых рынков сбыта; 5) введение новых организационных форм. 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2"/>
      </w:r>
      <w:r w:rsidRPr="0061680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16F7B" w:rsidRPr="00616807">
        <w:rPr>
          <w:rFonts w:ascii="Times New Roman" w:hAnsi="Times New Roman" w:cs="Times New Roman"/>
          <w:sz w:val="28"/>
          <w:szCs w:val="28"/>
        </w:rPr>
        <w:t xml:space="preserve"> трактовке</w:t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="00816F7B" w:rsidRPr="00616807">
        <w:rPr>
          <w:rFonts w:ascii="Times New Roman" w:hAnsi="Times New Roman" w:cs="Times New Roman"/>
          <w:sz w:val="28"/>
          <w:szCs w:val="28"/>
        </w:rPr>
        <w:t xml:space="preserve">ОЭСР, инновацией является «процессом реализации нового решения проблемы, направленной </w:t>
      </w:r>
      <w:r w:rsidR="00FA14CA" w:rsidRPr="00616807">
        <w:rPr>
          <w:rFonts w:ascii="Times New Roman" w:hAnsi="Times New Roman" w:cs="Times New Roman"/>
          <w:sz w:val="28"/>
          <w:szCs w:val="28"/>
        </w:rPr>
        <w:t xml:space="preserve">на усиление конкурентных </w:t>
      </w:r>
      <w:r w:rsidR="00816F7B" w:rsidRPr="00616807">
        <w:rPr>
          <w:rFonts w:ascii="Times New Roman" w:hAnsi="Times New Roman" w:cs="Times New Roman"/>
          <w:sz w:val="28"/>
          <w:szCs w:val="28"/>
        </w:rPr>
        <w:t>позици</w:t>
      </w:r>
      <w:r w:rsidR="00FA14CA" w:rsidRPr="00616807">
        <w:rPr>
          <w:rFonts w:ascii="Times New Roman" w:hAnsi="Times New Roman" w:cs="Times New Roman"/>
          <w:sz w:val="28"/>
          <w:szCs w:val="28"/>
        </w:rPr>
        <w:t>й</w:t>
      </w:r>
      <w:r w:rsidR="00816F7B" w:rsidRPr="00616807">
        <w:rPr>
          <w:rFonts w:ascii="Times New Roman" w:hAnsi="Times New Roman" w:cs="Times New Roman"/>
          <w:sz w:val="28"/>
          <w:szCs w:val="28"/>
        </w:rPr>
        <w:t>».</w:t>
      </w:r>
      <w:r w:rsidR="00816F7B" w:rsidRPr="00616807">
        <w:rPr>
          <w:rStyle w:val="a3"/>
          <w:rFonts w:ascii="Times New Roman" w:hAnsi="Times New Roman"/>
          <w:sz w:val="28"/>
          <w:szCs w:val="28"/>
        </w:rPr>
        <w:footnoteReference w:id="3"/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 xml:space="preserve">Обобщая вышесказанное, инновация представляет собой побудительный мотив прогресса общества во всех его сферах. Главным фактором инновационной деятельности  считаются инвестиции в фундаментальные исследования, результаты которых впоследствии коммерциализуются в различных сферах деятельности. Инновация создается в результате проведения исследований и открытий, материализует научные и практические решения. Инновационный процесс имеет </w:t>
      </w:r>
      <w:r w:rsidRPr="00616807">
        <w:rPr>
          <w:rFonts w:ascii="Times New Roman" w:hAnsi="Times New Roman" w:cs="Times New Roman"/>
          <w:sz w:val="28"/>
          <w:szCs w:val="28"/>
        </w:rPr>
        <w:lastRenderedPageBreak/>
        <w:t>различные источники, и его продвижение определяется не только предложением новых технологий, но и также спросом на них, который сейчас в мировой экономике велик как никогда. Особым отличием инновационного процесса является то, что передача технологий, ее путь от лаборатории к рынку является сложным, неопределенным и, как следствие, может быть затянутым.</w:t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Сегодня инновации играют чрезвычайно важную роль в условиях жесткой экономической конкуренции, и только те страны, которые активно внедряют новые технологии, будут занимать передовые позиции. Они нужны, прежде всего, потому, что являются единственным способом обновления и развития страны в современном мире. Сырьевая экономика и устаревшая промышленность тормозят развитие экономики и ставят всю страну и жизнь ее населения в прямую зависимость от мировых цен на углеводороды и иное сырье, препятствуя развитию остальных сфер экономики. Под влиянием же инновационного прогресса значительно меняется структура экономики, поскольку в результате повышения эффективности использования одних ресурсов и  перераспределения других в иные сферы деятельности, возникающие отрасли постепенно замещают устаревшие. Инновации способны в кратчайшие сроки создать перспективные пути развития практически всех отраслей промышленности.</w:t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Все чаще сегодня также используется термин «инновационная экономика», иначе «экономика знаний», отличительной чертой которой является то, что она основывается на знаниях и инновациях, интеллектуальных ресурсах, наукоемких и информационных технологиях. Под экономикой знаний, согласно специалистам Всемирного банка, понимается «экономика, которая создает, распространяет и использует знания для ускорения собственного роста и повышения конкурентоспособности».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4"/>
      </w:r>
      <w:r w:rsidRPr="00616807">
        <w:rPr>
          <w:rFonts w:ascii="Times New Roman" w:hAnsi="Times New Roman" w:cs="Times New Roman"/>
          <w:sz w:val="28"/>
          <w:szCs w:val="28"/>
        </w:rPr>
        <w:t xml:space="preserve"> Именно экономика знаний, как считают  экономисты, обеспечивает мировое превосходство страны, являясь ее двигателем.</w:t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Основой существования инновационной деятельности</w:t>
      </w:r>
      <w:r w:rsidR="007900D2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Pr="00616807">
        <w:rPr>
          <w:rFonts w:ascii="Times New Roman" w:hAnsi="Times New Roman" w:cs="Times New Roman"/>
          <w:sz w:val="28"/>
          <w:szCs w:val="28"/>
        </w:rPr>
        <w:t xml:space="preserve"> является научно-технический прогресс (НТП), который определяется как непрерывный процесс </w:t>
      </w:r>
      <w:r w:rsidRPr="00616807">
        <w:rPr>
          <w:rFonts w:ascii="Times New Roman" w:hAnsi="Times New Roman" w:cs="Times New Roman"/>
          <w:sz w:val="28"/>
          <w:szCs w:val="28"/>
        </w:rPr>
        <w:lastRenderedPageBreak/>
        <w:t>приобретения и накопления научных знаний об окружающем мире и на их основе создание новых или совершенствование действующих и внедрение прогрессивных средств и предметов труда, технологических процессов и форм организации производства.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5"/>
      </w:r>
      <w:r w:rsidRPr="00616807">
        <w:rPr>
          <w:rFonts w:ascii="Times New Roman" w:hAnsi="Times New Roman" w:cs="Times New Roman"/>
          <w:sz w:val="28"/>
          <w:szCs w:val="28"/>
        </w:rPr>
        <w:t xml:space="preserve"> Научно-технический потенциал (НТП) страны определяет возможность развития научной деятельности и разработок,  а также экономического применения результатов этой деятельности. НТП имеет в основе сферу образования, что позволяет экономике создать базу для проведения НИОКР, который включают в себя научно-исследовательские (НИР) и опытно-конструкторские (ОКР) и технологические  работы (ТР).</w:t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Глобализация и современные тенденции развития высоких технологий пот</w:t>
      </w:r>
      <w:r w:rsidR="00712DD0" w:rsidRPr="00616807">
        <w:rPr>
          <w:rFonts w:ascii="Times New Roman" w:hAnsi="Times New Roman" w:cs="Times New Roman"/>
          <w:sz w:val="28"/>
          <w:szCs w:val="28"/>
        </w:rPr>
        <w:t>р</w:t>
      </w:r>
      <w:r w:rsidRPr="00616807">
        <w:rPr>
          <w:rFonts w:ascii="Times New Roman" w:hAnsi="Times New Roman" w:cs="Times New Roman"/>
          <w:sz w:val="28"/>
          <w:szCs w:val="28"/>
        </w:rPr>
        <w:t>ебовали координации целей и задач инновационного развития государственного и частного секторов, науки и промышленности, а также создания фактически нового инновационного общества.</w:t>
      </w:r>
    </w:p>
    <w:p w:rsidR="00F73AB8" w:rsidRPr="0061680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 xml:space="preserve">Согласно докладу «Глобальный рейтинг инноваций», опубликованному мировой школой бизнеса </w:t>
      </w:r>
      <w:r w:rsidRPr="00616807">
        <w:rPr>
          <w:rFonts w:ascii="Times New Roman" w:hAnsi="Times New Roman" w:cs="Times New Roman"/>
          <w:sz w:val="28"/>
          <w:szCs w:val="28"/>
          <w:lang w:val="en-US"/>
        </w:rPr>
        <w:t>INSEAD</w:t>
      </w:r>
      <w:r w:rsidRPr="00616807">
        <w:rPr>
          <w:rFonts w:ascii="Times New Roman" w:hAnsi="Times New Roman" w:cs="Times New Roman"/>
          <w:sz w:val="28"/>
          <w:szCs w:val="28"/>
        </w:rPr>
        <w:t xml:space="preserve"> совместно с ВОИС,  на 2012 г. в первую десятку лидеров с наиболее высоким индексом инновации вошли Швейцария, Швеция, Сингапур, Финляндия, Великобритания, Нидерланды, Дания, Гонконг (Китай), Ирландия и США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6"/>
      </w:r>
      <w:r w:rsidRPr="00616807">
        <w:rPr>
          <w:rFonts w:ascii="Times New Roman" w:hAnsi="Times New Roman" w:cs="Times New Roman"/>
          <w:sz w:val="28"/>
          <w:szCs w:val="28"/>
        </w:rPr>
        <w:t>. (См.</w:t>
      </w:r>
      <w:r w:rsidR="00873C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="00873C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16807">
        <w:rPr>
          <w:rFonts w:ascii="Times New Roman" w:hAnsi="Times New Roman" w:cs="Times New Roman"/>
          <w:sz w:val="28"/>
          <w:szCs w:val="28"/>
        </w:rPr>
        <w:t>1)</w:t>
      </w:r>
    </w:p>
    <w:p w:rsidR="00F73AB8" w:rsidRPr="00616807" w:rsidRDefault="00F73AB8" w:rsidP="00873CE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В рейтинге эффективности в сфере инноваций, который показывает, какие страны достигли наибольших успехов в использовании инновации, Великобри</w:t>
      </w:r>
      <w:r w:rsidR="00873CE5">
        <w:rPr>
          <w:rFonts w:ascii="Times New Roman" w:hAnsi="Times New Roman" w:cs="Times New Roman"/>
          <w:sz w:val="28"/>
          <w:szCs w:val="28"/>
        </w:rPr>
        <w:t xml:space="preserve">тания занимает 14-е место (См. Приложение </w:t>
      </w:r>
      <w:r w:rsidRPr="00616807">
        <w:rPr>
          <w:rFonts w:ascii="Times New Roman" w:hAnsi="Times New Roman" w:cs="Times New Roman"/>
          <w:sz w:val="28"/>
          <w:szCs w:val="28"/>
        </w:rPr>
        <w:t>2).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7"/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="00303929">
        <w:rPr>
          <w:rFonts w:ascii="Times New Roman" w:hAnsi="Times New Roman" w:cs="Times New Roman"/>
          <w:sz w:val="28"/>
          <w:szCs w:val="28"/>
        </w:rPr>
        <w:t>Согласно докладу</w:t>
      </w:r>
      <w:r w:rsidRPr="00616807">
        <w:rPr>
          <w:rFonts w:ascii="Times New Roman" w:hAnsi="Times New Roman" w:cs="Times New Roman"/>
          <w:sz w:val="28"/>
          <w:szCs w:val="28"/>
        </w:rPr>
        <w:t xml:space="preserve">, в сфере инноваций существует большой разрыв между странами с разными уровнями развития экономик. К примеру, страны, входящие в первую десятку рейтинга, создали благоприятные условия для успешных инвестиций в инновации, стабильную инновационную инфраструктуру, которая содействует дальнейшему развитию в области знаний, </w:t>
      </w:r>
      <w:r w:rsidRPr="00616807">
        <w:rPr>
          <w:rFonts w:ascii="Times New Roman" w:hAnsi="Times New Roman" w:cs="Times New Roman"/>
          <w:sz w:val="28"/>
          <w:szCs w:val="28"/>
        </w:rPr>
        <w:lastRenderedPageBreak/>
        <w:t>технологий и творчества. Тогда как Индия, Китай, Сербия, Парагвай и другие страны со средним уровнем дохода являются «новичками» в сфере инноваций, которые демонстрируют изменения благодаря наличию квалифицированной рабочей силы, совершенствованию институциональной структуры и более тесной интеграции в международные рынки.</w:t>
      </w:r>
    </w:p>
    <w:p w:rsidR="00F73AB8" w:rsidRPr="00616807" w:rsidRDefault="00F73AB8" w:rsidP="00F73AB8">
      <w:pPr>
        <w:tabs>
          <w:tab w:val="left" w:pos="6904"/>
        </w:tabs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Расходы на НИОКР являются традиционным показателем уровня инновационного развития экономики, который поддается сравнительно простому сравнению между различными секторами и странами. Инвестиции в исследовательскую деятельность рассчитываются при помощи показателя общих внутренних расходов на НИОКР (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GERD</w:t>
      </w:r>
      <w:r w:rsidRPr="00616807">
        <w:rPr>
          <w:rFonts w:ascii="Times New Roman" w:hAnsi="Times New Roman" w:cs="Times New Roman"/>
          <w:sz w:val="28"/>
          <w:szCs w:val="28"/>
        </w:rPr>
        <w:t>).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8"/>
      </w:r>
      <w:r w:rsidRPr="00616807">
        <w:rPr>
          <w:rFonts w:ascii="Times New Roman" w:hAnsi="Times New Roman" w:cs="Times New Roman"/>
          <w:sz w:val="28"/>
          <w:szCs w:val="28"/>
        </w:rPr>
        <w:t xml:space="preserve"> Данный индикатор состоит из затрат на НИОКР, произведенных государственным, частным сектором, университетами. Великобритания сегодня входит в группу стран с наиболее высо</w:t>
      </w:r>
      <w:r w:rsidR="009308DE">
        <w:rPr>
          <w:rFonts w:ascii="Times New Roman" w:hAnsi="Times New Roman" w:cs="Times New Roman"/>
          <w:sz w:val="28"/>
          <w:szCs w:val="28"/>
        </w:rPr>
        <w:t>кими объемами затрат на НИОКР. Е</w:t>
      </w:r>
      <w:r w:rsidRPr="00616807">
        <w:rPr>
          <w:rFonts w:ascii="Times New Roman" w:hAnsi="Times New Roman" w:cs="Times New Roman"/>
          <w:sz w:val="28"/>
          <w:szCs w:val="28"/>
        </w:rPr>
        <w:t>сли рассмотреть диаграмму, показывающую динамику доли затрат на НИОКР от ВВП наиболее развитых стран мира, можно заметить, что Британия отставала от большинства из них.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9"/>
      </w:r>
      <w:r w:rsidRPr="00616807">
        <w:rPr>
          <w:rFonts w:ascii="Times New Roman" w:hAnsi="Times New Roman" w:cs="Times New Roman"/>
          <w:sz w:val="28"/>
          <w:szCs w:val="28"/>
        </w:rPr>
        <w:t xml:space="preserve"> (См. </w:t>
      </w:r>
      <w:r w:rsidR="00873CE5">
        <w:rPr>
          <w:rFonts w:ascii="Times New Roman" w:hAnsi="Times New Roman" w:cs="Times New Roman"/>
          <w:sz w:val="28"/>
          <w:szCs w:val="28"/>
        </w:rPr>
        <w:t>Приложение 3</w:t>
      </w:r>
      <w:r w:rsidRPr="006168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08DE" w:rsidRPr="00D21848" w:rsidRDefault="00F73AB8" w:rsidP="009308DE">
      <w:pPr>
        <w:tabs>
          <w:tab w:val="left" w:pos="8116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 xml:space="preserve">В середине 1980-х гг. Соединенное Королевство, наряду с Японией, США и Германией, было ведущим государством в области исследований и разработок, которые интенсивно проводились как на государственном уровне, так и в лабораториях различных организаций. Основным источником финансирования НИОКР в рассматриваемый период являлось государство (до 50%). </w:t>
      </w:r>
      <w:r w:rsidR="009308DE">
        <w:rPr>
          <w:rFonts w:ascii="Times New Roman" w:hAnsi="Times New Roman" w:cs="Times New Roman"/>
          <w:sz w:val="28"/>
          <w:szCs w:val="28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</w:rPr>
        <w:t>Однако, спустя более 30-ти лет, появились новые страны-лидеры в области научных исследований, сре</w:t>
      </w:r>
      <w:r w:rsidR="00473A71">
        <w:rPr>
          <w:rFonts w:ascii="Times New Roman" w:hAnsi="Times New Roman" w:cs="Times New Roman"/>
          <w:sz w:val="28"/>
          <w:szCs w:val="28"/>
        </w:rPr>
        <w:t>ди которых, кроме Японии и США,</w:t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="00F619D4">
        <w:rPr>
          <w:rFonts w:ascii="Times New Roman" w:hAnsi="Times New Roman" w:cs="Times New Roman"/>
          <w:sz w:val="28"/>
          <w:szCs w:val="28"/>
        </w:rPr>
        <w:t>из</w:t>
      </w:r>
      <w:r w:rsidR="00473A71">
        <w:rPr>
          <w:rFonts w:ascii="Times New Roman" w:hAnsi="Times New Roman" w:cs="Times New Roman"/>
          <w:sz w:val="28"/>
          <w:szCs w:val="28"/>
        </w:rPr>
        <w:t xml:space="preserve"> числ</w:t>
      </w:r>
      <w:r w:rsidR="00F619D4">
        <w:rPr>
          <w:rFonts w:ascii="Times New Roman" w:hAnsi="Times New Roman" w:cs="Times New Roman"/>
          <w:sz w:val="28"/>
          <w:szCs w:val="28"/>
        </w:rPr>
        <w:t>а</w:t>
      </w:r>
      <w:r w:rsidR="00473A71">
        <w:rPr>
          <w:rFonts w:ascii="Times New Roman" w:hAnsi="Times New Roman" w:cs="Times New Roman"/>
          <w:sz w:val="28"/>
          <w:szCs w:val="28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</w:rPr>
        <w:t>европейских стран выделились Финлянди</w:t>
      </w:r>
      <w:r w:rsidR="009308DE">
        <w:rPr>
          <w:rFonts w:ascii="Times New Roman" w:hAnsi="Times New Roman" w:cs="Times New Roman"/>
          <w:sz w:val="28"/>
          <w:szCs w:val="28"/>
        </w:rPr>
        <w:t xml:space="preserve">я и Франция. </w:t>
      </w:r>
      <w:r w:rsidR="009308DE">
        <w:rPr>
          <w:rFonts w:ascii="Times New Roman" w:hAnsi="Times New Roman" w:cs="Times New Roman"/>
          <w:sz w:val="28"/>
        </w:rPr>
        <w:t>Если рассмотреть динамику затрат на НИОКР отдельно в Соединенном Королевстве, можно заметить, как с начала 1990-х гг., несмотря на умеренные темпы роста развития технологий. Начиная с 2009 г. доля расходов стала уменьшаться, достигнув около 1.7% в 2011 г. (См. Приложение 4)</w:t>
      </w:r>
    </w:p>
    <w:p w:rsidR="00303929" w:rsidRPr="00616807" w:rsidRDefault="00303929" w:rsidP="009308DE">
      <w:pPr>
        <w:tabs>
          <w:tab w:val="left" w:pos="6904"/>
        </w:tabs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73AB8" w:rsidRPr="00616807" w:rsidRDefault="00F73AB8" w:rsidP="00C6222A">
      <w:pPr>
        <w:tabs>
          <w:tab w:val="left" w:pos="6904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lastRenderedPageBreak/>
        <w:t xml:space="preserve">Стоит подчеркнуть, что когда идет речь об инвестициях в инновации, согласно докладу 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UK</w:t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Innovation</w:t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Index</w:t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Nesta</w:t>
      </w:r>
      <w:r w:rsidRPr="00616807">
        <w:rPr>
          <w:rFonts w:ascii="Times New Roman" w:hAnsi="Times New Roman" w:cs="Times New Roman"/>
          <w:sz w:val="28"/>
          <w:szCs w:val="28"/>
        </w:rPr>
        <w:t>, в настоящее возрастает роль нематериальные активов (НМА), по сравнению с традиционными материальными активами, как здания и оборудования.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10"/>
      </w:r>
      <w:r w:rsidRPr="00616807">
        <w:rPr>
          <w:rFonts w:ascii="Times New Roman" w:hAnsi="Times New Roman" w:cs="Times New Roman"/>
          <w:sz w:val="28"/>
          <w:szCs w:val="28"/>
        </w:rPr>
        <w:t xml:space="preserve"> Под категорию затрат  на НМА попадают расходы на профессиональную подготовку кадров, маркетинг, программное обеспечение и </w:t>
      </w:r>
      <w:r w:rsidR="0070402D">
        <w:rPr>
          <w:rFonts w:ascii="Times New Roman" w:hAnsi="Times New Roman" w:cs="Times New Roman"/>
          <w:sz w:val="28"/>
          <w:szCs w:val="28"/>
        </w:rPr>
        <w:t>дизайн нового продукта</w:t>
      </w:r>
      <w:r w:rsidRPr="00616807">
        <w:rPr>
          <w:rFonts w:ascii="Times New Roman" w:hAnsi="Times New Roman" w:cs="Times New Roman"/>
          <w:sz w:val="28"/>
          <w:szCs w:val="28"/>
        </w:rPr>
        <w:t xml:space="preserve">. Исследование 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616807">
        <w:rPr>
          <w:rFonts w:ascii="Times New Roman" w:hAnsi="Times New Roman" w:cs="Times New Roman"/>
          <w:sz w:val="28"/>
          <w:szCs w:val="28"/>
        </w:rPr>
        <w:t xml:space="preserve"> 2012 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Innovation</w:t>
      </w:r>
      <w:r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  <w:lang w:val="en-GB"/>
        </w:rPr>
        <w:t>Index</w:t>
      </w:r>
      <w:r w:rsidRPr="00616807">
        <w:rPr>
          <w:rFonts w:ascii="Times New Roman" w:hAnsi="Times New Roman" w:cs="Times New Roman"/>
          <w:sz w:val="28"/>
          <w:szCs w:val="28"/>
        </w:rPr>
        <w:t xml:space="preserve"> выявило, что общая сумма инвестиции в НМА составила около 124 млрд. фунтов в 2010 г., сократившись на 3,3% по сравнению с 2009 г.,  в то время как расходы на материальные активы снизились на 23 млрд. фунтов, более 20% за год.</w:t>
      </w:r>
      <w:r w:rsidR="000B2748" w:rsidRPr="00616807">
        <w:rPr>
          <w:rStyle w:val="a3"/>
          <w:rFonts w:ascii="Times New Roman" w:hAnsi="Times New Roman"/>
          <w:sz w:val="28"/>
          <w:szCs w:val="28"/>
        </w:rPr>
        <w:footnoteReference w:id="11"/>
      </w:r>
      <w:r w:rsidR="00BC6E25" w:rsidRPr="00616807">
        <w:rPr>
          <w:rFonts w:ascii="Times New Roman" w:hAnsi="Times New Roman" w:cs="Times New Roman"/>
          <w:sz w:val="28"/>
          <w:szCs w:val="28"/>
        </w:rPr>
        <w:t xml:space="preserve"> </w:t>
      </w:r>
      <w:r w:rsidRPr="00616807">
        <w:rPr>
          <w:rFonts w:ascii="Times New Roman" w:hAnsi="Times New Roman" w:cs="Times New Roman"/>
          <w:sz w:val="28"/>
          <w:szCs w:val="28"/>
        </w:rPr>
        <w:t>Снижение уровня инвестиции в НМА в меньшей степени означает, что</w:t>
      </w:r>
      <w:r w:rsidR="00926499">
        <w:rPr>
          <w:rFonts w:ascii="Times New Roman" w:hAnsi="Times New Roman" w:cs="Times New Roman"/>
          <w:sz w:val="28"/>
          <w:szCs w:val="28"/>
        </w:rPr>
        <w:t>, несмотря на нестабильную экономическую ситуацию в стране,</w:t>
      </w:r>
      <w:r w:rsidRPr="00616807">
        <w:rPr>
          <w:rFonts w:ascii="Times New Roman" w:hAnsi="Times New Roman" w:cs="Times New Roman"/>
          <w:sz w:val="28"/>
          <w:szCs w:val="28"/>
        </w:rPr>
        <w:t xml:space="preserve"> субъекты предпринимательского сектора осознают важность финансирования инноваций. </w:t>
      </w:r>
    </w:p>
    <w:p w:rsidR="00F73AB8" w:rsidRPr="001D7B8B" w:rsidRDefault="001D7B8B" w:rsidP="00C6222A">
      <w:pPr>
        <w:tabs>
          <w:tab w:val="left" w:pos="7265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рассмотреть динамику затрат на НИОКР отдельно в Соединенном Королевстве, можно заметить, как с начала 1990-х гг., несмотря на умеренны темпы роста развития технологий, расходы на исследования стали сокращаться. </w:t>
      </w:r>
      <w:r w:rsidR="00F73AB8" w:rsidRPr="001D7B8B">
        <w:rPr>
          <w:rFonts w:ascii="Times New Roman" w:hAnsi="Times New Roman" w:cs="Times New Roman"/>
          <w:sz w:val="28"/>
          <w:szCs w:val="28"/>
        </w:rPr>
        <w:t xml:space="preserve">Начиная с 2009 г. доля </w:t>
      </w:r>
      <w:r w:rsidR="00AF5B4D" w:rsidRPr="001D7B8B">
        <w:rPr>
          <w:rFonts w:ascii="Times New Roman" w:hAnsi="Times New Roman" w:cs="Times New Roman"/>
          <w:sz w:val="28"/>
          <w:szCs w:val="28"/>
        </w:rPr>
        <w:t>затрат</w:t>
      </w:r>
      <w:r w:rsidR="00F73AB8" w:rsidRPr="001D7B8B">
        <w:rPr>
          <w:rFonts w:ascii="Times New Roman" w:hAnsi="Times New Roman" w:cs="Times New Roman"/>
          <w:sz w:val="28"/>
          <w:szCs w:val="28"/>
        </w:rPr>
        <w:t xml:space="preserve"> стала уменьшаться, достигнув около 1.7% в 2011 г.</w:t>
      </w:r>
    </w:p>
    <w:p w:rsidR="00F73AB8" w:rsidRPr="001B3F77" w:rsidRDefault="00F73AB8" w:rsidP="00873CE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D7B8B">
        <w:rPr>
          <w:rFonts w:ascii="Times New Roman" w:hAnsi="Times New Roman" w:cs="Times New Roman"/>
          <w:sz w:val="28"/>
          <w:szCs w:val="28"/>
        </w:rPr>
        <w:t xml:space="preserve">Согласно данным исследовательского института </w:t>
      </w:r>
      <w:r w:rsidRPr="001D7B8B">
        <w:rPr>
          <w:rStyle w:val="st"/>
          <w:rFonts w:ascii="Times New Roman" w:hAnsi="Times New Roman"/>
          <w:sz w:val="28"/>
          <w:szCs w:val="28"/>
        </w:rPr>
        <w:t>им. Баттелла, в</w:t>
      </w:r>
      <w:r w:rsidRPr="00616807">
        <w:rPr>
          <w:rStyle w:val="st"/>
          <w:rFonts w:ascii="Times New Roman" w:hAnsi="Times New Roman"/>
          <w:sz w:val="28"/>
          <w:szCs w:val="28"/>
        </w:rPr>
        <w:t xml:space="preserve"> 2013 г. размер затрат на НИОКР составит </w:t>
      </w:r>
      <w:r w:rsidRPr="00616807">
        <w:rPr>
          <w:rFonts w:ascii="Times New Roman" w:hAnsi="Times New Roman" w:cs="Times New Roman"/>
          <w:sz w:val="28"/>
          <w:szCs w:val="28"/>
        </w:rPr>
        <w:t xml:space="preserve">1,4 трлн. долл. США, рост в </w:t>
      </w:r>
      <w:r w:rsidRPr="00616807">
        <w:rPr>
          <w:rStyle w:val="st"/>
          <w:rFonts w:ascii="Times New Roman" w:hAnsi="Times New Roman"/>
          <w:sz w:val="28"/>
          <w:szCs w:val="28"/>
        </w:rPr>
        <w:t xml:space="preserve">5,2% по сравнению с  1,3 </w:t>
      </w:r>
      <w:r w:rsidRPr="00616807">
        <w:rPr>
          <w:rFonts w:ascii="Times New Roman" w:hAnsi="Times New Roman" w:cs="Times New Roman"/>
          <w:sz w:val="28"/>
          <w:szCs w:val="28"/>
        </w:rPr>
        <w:t>трлн. долл. В 2011 г. Рассмотрим  диаграмму, показывающую мировые расходы на НИОКР в 201</w:t>
      </w:r>
      <w:r w:rsidR="00873CE5">
        <w:rPr>
          <w:rFonts w:ascii="Times New Roman" w:hAnsi="Times New Roman" w:cs="Times New Roman"/>
          <w:sz w:val="28"/>
          <w:szCs w:val="28"/>
        </w:rPr>
        <w:t>0</w:t>
      </w:r>
      <w:r w:rsidRPr="00616807">
        <w:rPr>
          <w:rFonts w:ascii="Times New Roman" w:hAnsi="Times New Roman" w:cs="Times New Roman"/>
          <w:sz w:val="28"/>
          <w:szCs w:val="28"/>
        </w:rPr>
        <w:t xml:space="preserve"> г.</w:t>
      </w:r>
      <w:r w:rsidRPr="00616807">
        <w:rPr>
          <w:rStyle w:val="Footnoteanchor"/>
          <w:rFonts w:ascii="Times New Roman" w:hAnsi="Times New Roman" w:cs="Times New Roman"/>
          <w:sz w:val="28"/>
          <w:szCs w:val="28"/>
        </w:rPr>
        <w:footnoteReference w:id="12"/>
      </w:r>
      <w:r w:rsidRPr="00616807">
        <w:rPr>
          <w:rStyle w:val="st"/>
          <w:rFonts w:ascii="Times New Roman" w:hAnsi="Times New Roman"/>
          <w:sz w:val="28"/>
          <w:szCs w:val="28"/>
        </w:rPr>
        <w:t xml:space="preserve"> (См. </w:t>
      </w:r>
      <w:r w:rsidR="00873CE5">
        <w:rPr>
          <w:rStyle w:val="st"/>
          <w:rFonts w:ascii="Times New Roman" w:hAnsi="Times New Roman"/>
          <w:sz w:val="28"/>
          <w:szCs w:val="28"/>
        </w:rPr>
        <w:t xml:space="preserve">Приложение </w:t>
      </w:r>
      <w:r w:rsidR="009308DE">
        <w:rPr>
          <w:rStyle w:val="st"/>
          <w:rFonts w:ascii="Times New Roman" w:hAnsi="Times New Roman"/>
          <w:sz w:val="28"/>
          <w:szCs w:val="28"/>
        </w:rPr>
        <w:t>5</w:t>
      </w:r>
      <w:r w:rsidRPr="00616807">
        <w:rPr>
          <w:rStyle w:val="st"/>
          <w:rFonts w:ascii="Times New Roman" w:hAnsi="Times New Roman"/>
          <w:sz w:val="28"/>
          <w:szCs w:val="28"/>
        </w:rPr>
        <w:t>)</w:t>
      </w:r>
      <w:r w:rsidR="00873CE5" w:rsidRPr="001B3F77">
        <w:rPr>
          <w:rFonts w:ascii="Times New Roman" w:hAnsi="Times New Roman" w:cs="Times New Roman"/>
        </w:rPr>
        <w:t xml:space="preserve"> </w:t>
      </w:r>
      <w:r w:rsidRPr="001B3F77">
        <w:rPr>
          <w:rStyle w:val="st"/>
          <w:rFonts w:ascii="Times New Roman" w:hAnsi="Times New Roman"/>
          <w:sz w:val="28"/>
          <w:szCs w:val="28"/>
        </w:rPr>
        <w:t>Можно заметить, что среди рассматриваемых стран все больше затрат на НИОКР направляется из США и азиатских стран таких, как Япония, Китай, Южная Корея. Эти государства направля</w:t>
      </w:r>
      <w:r w:rsidR="00AF5B4D" w:rsidRPr="001B3F77">
        <w:rPr>
          <w:rStyle w:val="st"/>
          <w:rFonts w:ascii="Times New Roman" w:hAnsi="Times New Roman"/>
          <w:sz w:val="28"/>
          <w:szCs w:val="28"/>
        </w:rPr>
        <w:t>ют на НИОКР более 3% своего ВВ</w:t>
      </w:r>
      <w:r w:rsidR="00541D5B">
        <w:rPr>
          <w:rStyle w:val="st"/>
          <w:rFonts w:ascii="Times New Roman" w:hAnsi="Times New Roman"/>
          <w:sz w:val="28"/>
          <w:szCs w:val="28"/>
        </w:rPr>
        <w:t>П</w:t>
      </w:r>
      <w:r w:rsidRPr="001B3F77">
        <w:rPr>
          <w:rFonts w:ascii="Times New Roman" w:hAnsi="Times New Roman" w:cs="Times New Roman"/>
          <w:sz w:val="28"/>
          <w:szCs w:val="28"/>
        </w:rPr>
        <w:t>.</w:t>
      </w:r>
      <w:r w:rsidR="00873CE5" w:rsidRPr="001B3F77">
        <w:rPr>
          <w:rFonts w:ascii="Times New Roman" w:hAnsi="Times New Roman" w:cs="Times New Roman"/>
        </w:rPr>
        <w:t xml:space="preserve"> </w:t>
      </w:r>
    </w:p>
    <w:p w:rsidR="009308DE" w:rsidRPr="00666AA4" w:rsidRDefault="00482E13" w:rsidP="00666AA4">
      <w:pPr>
        <w:tabs>
          <w:tab w:val="left" w:pos="6282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</w:t>
      </w:r>
      <w:r w:rsidR="00F73AB8" w:rsidRPr="001B3F77">
        <w:rPr>
          <w:rFonts w:ascii="Times New Roman" w:hAnsi="Times New Roman" w:cs="Times New Roman"/>
          <w:sz w:val="28"/>
        </w:rPr>
        <w:t xml:space="preserve">в стране благоприятного инвестиционного климата, который способствует активизации инновационных факторов развития </w:t>
      </w:r>
      <w:r>
        <w:rPr>
          <w:rFonts w:ascii="Times New Roman" w:hAnsi="Times New Roman" w:cs="Times New Roman"/>
          <w:sz w:val="28"/>
        </w:rPr>
        <w:t xml:space="preserve">различных сфер, </w:t>
      </w:r>
      <w:r w:rsidR="00F73AB8" w:rsidRPr="001B3F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 ключевым направлением эффективного развития национальной экономики</w:t>
      </w:r>
      <w:r w:rsidR="00F73AB8" w:rsidRPr="001B3F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связи с этим, </w:t>
      </w:r>
      <w:r w:rsidR="00F73AB8" w:rsidRPr="001B3F77">
        <w:rPr>
          <w:rFonts w:ascii="Times New Roman" w:hAnsi="Times New Roman" w:cs="Times New Roman"/>
          <w:sz w:val="28"/>
        </w:rPr>
        <w:t xml:space="preserve">в условиях </w:t>
      </w:r>
      <w:r>
        <w:rPr>
          <w:rFonts w:ascii="Times New Roman" w:hAnsi="Times New Roman" w:cs="Times New Roman"/>
          <w:sz w:val="28"/>
        </w:rPr>
        <w:t>глобал</w:t>
      </w:r>
      <w:r w:rsidR="000D770D">
        <w:rPr>
          <w:rFonts w:ascii="Times New Roman" w:hAnsi="Times New Roman" w:cs="Times New Roman"/>
          <w:sz w:val="28"/>
        </w:rPr>
        <w:t>изациях</w:t>
      </w:r>
      <w:r w:rsidR="00F73AB8" w:rsidRPr="001B3F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построение экономики знаний</w:t>
      </w:r>
      <w:r w:rsidR="00F73AB8" w:rsidRPr="001B3F77">
        <w:rPr>
          <w:rFonts w:ascii="Times New Roman" w:hAnsi="Times New Roman" w:cs="Times New Roman"/>
          <w:sz w:val="28"/>
        </w:rPr>
        <w:t xml:space="preserve"> связан</w:t>
      </w:r>
      <w:r>
        <w:rPr>
          <w:rFonts w:ascii="Times New Roman" w:hAnsi="Times New Roman" w:cs="Times New Roman"/>
          <w:sz w:val="28"/>
        </w:rPr>
        <w:t xml:space="preserve">о </w:t>
      </w:r>
      <w:r w:rsidR="00F73AB8" w:rsidRPr="001B3F77">
        <w:rPr>
          <w:rFonts w:ascii="Times New Roman" w:hAnsi="Times New Roman" w:cs="Times New Roman"/>
          <w:sz w:val="28"/>
        </w:rPr>
        <w:t xml:space="preserve">с </w:t>
      </w:r>
      <w:r w:rsidR="00F73AB8" w:rsidRPr="001B3F77">
        <w:rPr>
          <w:rFonts w:ascii="Times New Roman" w:hAnsi="Times New Roman" w:cs="Times New Roman"/>
          <w:sz w:val="28"/>
        </w:rPr>
        <w:lastRenderedPageBreak/>
        <w:t xml:space="preserve">формированием политики государства, </w:t>
      </w:r>
      <w:r>
        <w:rPr>
          <w:rFonts w:ascii="Times New Roman" w:hAnsi="Times New Roman" w:cs="Times New Roman"/>
          <w:sz w:val="28"/>
        </w:rPr>
        <w:t>обеспечивающей</w:t>
      </w:r>
      <w:r w:rsidR="00F73AB8" w:rsidRPr="001B3F77">
        <w:rPr>
          <w:rFonts w:ascii="Times New Roman" w:hAnsi="Times New Roman" w:cs="Times New Roman"/>
          <w:sz w:val="28"/>
        </w:rPr>
        <w:t xml:space="preserve"> поддержку приоритетных отраслей, наукоемких производств и технологий.</w:t>
      </w:r>
    </w:p>
    <w:p w:rsidR="00F73AB8" w:rsidRPr="001B3F77" w:rsidRDefault="00F73AB8" w:rsidP="00F73AB8">
      <w:pPr>
        <w:tabs>
          <w:tab w:val="left" w:pos="6282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</w:p>
    <w:p w:rsidR="00F73AB8" w:rsidRPr="007A66B7" w:rsidRDefault="00F73AB8" w:rsidP="00AF5B4D">
      <w:pPr>
        <w:pStyle w:val="a7"/>
        <w:numPr>
          <w:ilvl w:val="1"/>
          <w:numId w:val="4"/>
        </w:numPr>
        <w:spacing w:after="240" w:line="360" w:lineRule="auto"/>
        <w:ind w:left="0"/>
        <w:jc w:val="center"/>
        <w:rPr>
          <w:rFonts w:ascii="Times New Roman" w:hAnsi="Times New Roman" w:cs="Times New Roman"/>
        </w:rPr>
      </w:pPr>
      <w:r w:rsidRPr="007A66B7">
        <w:rPr>
          <w:rFonts w:ascii="Times New Roman" w:hAnsi="Times New Roman" w:cs="Times New Roman"/>
          <w:sz w:val="28"/>
          <w:szCs w:val="28"/>
        </w:rPr>
        <w:t>Роль государства в стимулировании инновационной деятельности</w:t>
      </w:r>
    </w:p>
    <w:p w:rsidR="00F73AB8" w:rsidRPr="001B3F77" w:rsidRDefault="00F73AB8" w:rsidP="00FE7B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Государство в разных странах стимулирует инновационную деятельность различными способами. </w:t>
      </w:r>
      <w:r w:rsidR="00EA36F8">
        <w:rPr>
          <w:rFonts w:ascii="Times New Roman" w:hAnsi="Times New Roman" w:cs="Times New Roman"/>
          <w:sz w:val="28"/>
          <w:szCs w:val="28"/>
        </w:rPr>
        <w:t xml:space="preserve">Политика, направленная на создание экономики </w:t>
      </w:r>
      <w:r w:rsidR="00E12513">
        <w:rPr>
          <w:rFonts w:ascii="Times New Roman" w:hAnsi="Times New Roman" w:cs="Times New Roman"/>
          <w:sz w:val="28"/>
          <w:szCs w:val="28"/>
        </w:rPr>
        <w:t>инновационного</w:t>
      </w:r>
      <w:r w:rsidR="00EA36F8">
        <w:rPr>
          <w:rFonts w:ascii="Times New Roman" w:hAnsi="Times New Roman" w:cs="Times New Roman"/>
          <w:sz w:val="28"/>
          <w:szCs w:val="28"/>
        </w:rPr>
        <w:t xml:space="preserve"> типа подразумевает особую </w:t>
      </w:r>
      <w:r w:rsidRPr="001B3F77">
        <w:rPr>
          <w:rFonts w:ascii="Times New Roman" w:hAnsi="Times New Roman" w:cs="Times New Roman"/>
          <w:sz w:val="28"/>
          <w:szCs w:val="28"/>
        </w:rPr>
        <w:t>роль государства в процессах коммерциализации технологий. Одним из приоритет</w:t>
      </w:r>
      <w:r w:rsidR="00E12513">
        <w:rPr>
          <w:rFonts w:ascii="Times New Roman" w:hAnsi="Times New Roman" w:cs="Times New Roman"/>
          <w:sz w:val="28"/>
          <w:szCs w:val="28"/>
        </w:rPr>
        <w:t>ных направлений</w:t>
      </w:r>
      <w:r w:rsidRPr="001B3F77">
        <w:rPr>
          <w:rFonts w:ascii="Times New Roman" w:hAnsi="Times New Roman" w:cs="Times New Roman"/>
          <w:sz w:val="28"/>
          <w:szCs w:val="28"/>
        </w:rPr>
        <w:t xml:space="preserve"> инновационной политики является стимулирование</w:t>
      </w:r>
      <w:r w:rsidR="00EA36F8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1B3F77">
        <w:rPr>
          <w:rFonts w:ascii="Times New Roman" w:hAnsi="Times New Roman" w:cs="Times New Roman"/>
          <w:sz w:val="28"/>
          <w:szCs w:val="28"/>
        </w:rPr>
        <w:t xml:space="preserve"> передачи результатов НИОКР из научных организаций в производство. </w:t>
      </w:r>
      <w:r w:rsidR="00FE7B65" w:rsidRPr="001B3F77">
        <w:rPr>
          <w:rFonts w:ascii="Times New Roman" w:hAnsi="Times New Roman" w:cs="Times New Roman"/>
          <w:sz w:val="28"/>
          <w:szCs w:val="28"/>
        </w:rPr>
        <w:t xml:space="preserve">В большинстве развитых стран государственная инновационная политика является связующим звеном </w:t>
      </w:r>
      <w:r w:rsidR="00FE7B65">
        <w:rPr>
          <w:rFonts w:ascii="Times New Roman" w:hAnsi="Times New Roman" w:cs="Times New Roman"/>
          <w:sz w:val="28"/>
          <w:szCs w:val="28"/>
        </w:rPr>
        <w:t xml:space="preserve"> в т.н. </w:t>
      </w:r>
      <w:r w:rsidR="00CA07AC">
        <w:rPr>
          <w:rFonts w:ascii="Times New Roman" w:hAnsi="Times New Roman" w:cs="Times New Roman"/>
          <w:sz w:val="28"/>
          <w:szCs w:val="28"/>
        </w:rPr>
        <w:t>«</w:t>
      </w:r>
      <w:r w:rsidR="00FE7B65">
        <w:rPr>
          <w:rFonts w:ascii="Times New Roman" w:hAnsi="Times New Roman" w:cs="Times New Roman"/>
          <w:sz w:val="28"/>
          <w:szCs w:val="28"/>
        </w:rPr>
        <w:t>инновационной цепи</w:t>
      </w:r>
      <w:r w:rsidR="00CA07AC">
        <w:rPr>
          <w:rFonts w:ascii="Times New Roman" w:hAnsi="Times New Roman" w:cs="Times New Roman"/>
          <w:sz w:val="28"/>
          <w:szCs w:val="28"/>
        </w:rPr>
        <w:t>»</w:t>
      </w:r>
      <w:r w:rsidR="00FE7B65">
        <w:rPr>
          <w:rFonts w:ascii="Times New Roman" w:hAnsi="Times New Roman" w:cs="Times New Roman"/>
          <w:sz w:val="28"/>
          <w:szCs w:val="28"/>
        </w:rPr>
        <w:t xml:space="preserve"> </w:t>
      </w:r>
      <w:r w:rsidR="00FE7B65" w:rsidRPr="001B3F77">
        <w:rPr>
          <w:rFonts w:ascii="Times New Roman" w:hAnsi="Times New Roman" w:cs="Times New Roman"/>
          <w:sz w:val="28"/>
          <w:szCs w:val="28"/>
        </w:rPr>
        <w:t>между сферой на</w:t>
      </w:r>
      <w:r w:rsidR="00FE7B65">
        <w:rPr>
          <w:rFonts w:ascii="Times New Roman" w:hAnsi="Times New Roman" w:cs="Times New Roman"/>
          <w:sz w:val="28"/>
          <w:szCs w:val="28"/>
        </w:rPr>
        <w:t xml:space="preserve">учно-технической деятельности, </w:t>
      </w:r>
      <w:r w:rsidR="00FE7B65" w:rsidRPr="001B3F77">
        <w:rPr>
          <w:rFonts w:ascii="Times New Roman" w:hAnsi="Times New Roman" w:cs="Times New Roman"/>
          <w:sz w:val="28"/>
          <w:szCs w:val="28"/>
        </w:rPr>
        <w:t>производством</w:t>
      </w:r>
      <w:r w:rsidR="00FE7B65">
        <w:rPr>
          <w:rFonts w:ascii="Times New Roman" w:hAnsi="Times New Roman" w:cs="Times New Roman"/>
          <w:sz w:val="28"/>
          <w:szCs w:val="28"/>
        </w:rPr>
        <w:t xml:space="preserve"> и потреблением</w:t>
      </w:r>
      <w:r w:rsidR="00FE7B65" w:rsidRPr="001B3F77">
        <w:rPr>
          <w:rFonts w:ascii="Times New Roman" w:hAnsi="Times New Roman" w:cs="Times New Roman"/>
          <w:sz w:val="28"/>
          <w:szCs w:val="28"/>
        </w:rPr>
        <w:t xml:space="preserve">. </w:t>
      </w:r>
      <w:r w:rsidRPr="001B3F77">
        <w:rPr>
          <w:rFonts w:ascii="Times New Roman" w:hAnsi="Times New Roman" w:cs="Times New Roman"/>
          <w:sz w:val="28"/>
          <w:szCs w:val="28"/>
        </w:rPr>
        <w:t xml:space="preserve">Так, перед государством встает вопрос, какие из возникающих результатов инновационной деятельности могут в действительности внести вклад в развитие инновационной экономики страны, а также общества в целом. Следующим шагом является выявление мер, которые нужно предпринимать впоследствии, чтобы инновационный процесс не останавливался, а получал дальнейшее развитие. 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Сегодня большинство развитых экономик проводят ряд программ инновационного развития с целью стимулирования коммерциализации технологий. Для эффективной реализации </w:t>
      </w:r>
      <w:r w:rsidR="00FE7B65">
        <w:rPr>
          <w:rFonts w:ascii="Times New Roman" w:hAnsi="Times New Roman" w:cs="Times New Roman"/>
          <w:sz w:val="28"/>
          <w:szCs w:val="28"/>
        </w:rPr>
        <w:t>подобных программ требуется</w:t>
      </w:r>
      <w:r w:rsidRPr="001B3F77">
        <w:rPr>
          <w:rFonts w:ascii="Times New Roman" w:hAnsi="Times New Roman" w:cs="Times New Roman"/>
          <w:sz w:val="28"/>
          <w:szCs w:val="28"/>
        </w:rPr>
        <w:t xml:space="preserve"> соответствующая государственная поддержка.  Она может быть представлена в виде:</w:t>
      </w:r>
    </w:p>
    <w:p w:rsidR="00F73AB8" w:rsidRPr="001B3F77" w:rsidRDefault="00F73AB8" w:rsidP="00AF5B4D">
      <w:pPr>
        <w:pStyle w:val="a7"/>
        <w:numPr>
          <w:ilvl w:val="0"/>
          <w:numId w:val="6"/>
        </w:numPr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прямой помощи в форме различных финансовых субсидий и льгот;</w:t>
      </w:r>
    </w:p>
    <w:p w:rsidR="00F73AB8" w:rsidRPr="001B3F77" w:rsidRDefault="00F73AB8" w:rsidP="00AF5B4D">
      <w:pPr>
        <w:pStyle w:val="a7"/>
        <w:numPr>
          <w:ilvl w:val="0"/>
          <w:numId w:val="6"/>
        </w:numPr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охране прав </w:t>
      </w:r>
      <w:r w:rsidRPr="000D770D"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  <w:r w:rsidRPr="001B3F77">
        <w:rPr>
          <w:rFonts w:ascii="Times New Roman" w:hAnsi="Times New Roman" w:cs="Times New Roman"/>
          <w:sz w:val="28"/>
          <w:szCs w:val="28"/>
        </w:rPr>
        <w:t>;</w:t>
      </w:r>
    </w:p>
    <w:p w:rsidR="00F73AB8" w:rsidRPr="001B3F77" w:rsidRDefault="00F73AB8" w:rsidP="00AF5B4D">
      <w:pPr>
        <w:pStyle w:val="a7"/>
        <w:numPr>
          <w:ilvl w:val="0"/>
          <w:numId w:val="6"/>
        </w:numPr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создания инновационных и страховых фондов </w:t>
      </w:r>
      <w:r w:rsidR="00FE7B65">
        <w:rPr>
          <w:rFonts w:ascii="Times New Roman" w:hAnsi="Times New Roman" w:cs="Times New Roman"/>
          <w:sz w:val="28"/>
          <w:szCs w:val="28"/>
        </w:rPr>
        <w:t>(</w:t>
      </w:r>
      <w:r w:rsidRPr="001B3F77">
        <w:rPr>
          <w:rFonts w:ascii="Times New Roman" w:hAnsi="Times New Roman" w:cs="Times New Roman"/>
          <w:sz w:val="28"/>
          <w:szCs w:val="28"/>
        </w:rPr>
        <w:t>с</w:t>
      </w:r>
      <w:r w:rsidRPr="001B3F77">
        <w:rPr>
          <w:rFonts w:ascii="Times New Roman" w:hAnsi="Times New Roman" w:cs="Times New Roman"/>
          <w:sz w:val="28"/>
        </w:rPr>
        <w:t xml:space="preserve"> долевым участием государства</w:t>
      </w:r>
      <w:r w:rsidR="00FE7B65">
        <w:rPr>
          <w:rFonts w:ascii="Times New Roman" w:hAnsi="Times New Roman" w:cs="Times New Roman"/>
          <w:sz w:val="28"/>
        </w:rPr>
        <w:t>)</w:t>
      </w:r>
      <w:r w:rsidRPr="001B3F77">
        <w:rPr>
          <w:rFonts w:ascii="Times New Roman" w:hAnsi="Times New Roman" w:cs="Times New Roman"/>
          <w:sz w:val="28"/>
          <w:szCs w:val="28"/>
        </w:rPr>
        <w:t>;</w:t>
      </w:r>
    </w:p>
    <w:p w:rsidR="00F73AB8" w:rsidRPr="001B3F77" w:rsidRDefault="00F73AB8" w:rsidP="00AF5B4D">
      <w:pPr>
        <w:pStyle w:val="a7"/>
        <w:numPr>
          <w:ilvl w:val="0"/>
          <w:numId w:val="6"/>
        </w:numPr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выдаче грантов на научные исследования</w:t>
      </w:r>
      <w:r w:rsidR="0092077E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и т.д.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Государство воздействует на инновационное развитие, определяя общие стратегические направления инновационных процессов и содействуя кооперации и взаимодействию различных институтов в целях достижения этих ориентиров. 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lastRenderedPageBreak/>
        <w:t>Государственные инвестиции в науку и инновационную деятельность считаются важным средством достижения долгосрочного экономического роста и повышения качества жизни.</w:t>
      </w:r>
      <w:r w:rsidR="00ED1DED">
        <w:rPr>
          <w:rFonts w:ascii="Times New Roman" w:hAnsi="Times New Roman" w:cs="Times New Roman"/>
          <w:sz w:val="28"/>
          <w:szCs w:val="28"/>
        </w:rPr>
        <w:t xml:space="preserve"> Тем не менее,</w:t>
      </w:r>
      <w:r w:rsidRPr="001B3F77">
        <w:rPr>
          <w:rFonts w:ascii="Times New Roman" w:hAnsi="Times New Roman" w:cs="Times New Roman"/>
          <w:sz w:val="28"/>
          <w:szCs w:val="28"/>
        </w:rPr>
        <w:t xml:space="preserve">  </w:t>
      </w:r>
      <w:r w:rsidR="00ED1DED">
        <w:rPr>
          <w:rFonts w:ascii="Times New Roman" w:hAnsi="Times New Roman" w:cs="Times New Roman"/>
          <w:sz w:val="28"/>
          <w:szCs w:val="28"/>
        </w:rPr>
        <w:t>поддержка</w:t>
      </w:r>
      <w:r w:rsidRPr="001B3F77">
        <w:rPr>
          <w:rFonts w:ascii="Times New Roman" w:hAnsi="Times New Roman" w:cs="Times New Roman"/>
          <w:sz w:val="28"/>
          <w:szCs w:val="28"/>
        </w:rPr>
        <w:t xml:space="preserve"> государства в </w:t>
      </w:r>
      <w:r w:rsidR="00EB0A06">
        <w:rPr>
          <w:rFonts w:ascii="Times New Roman" w:hAnsi="Times New Roman" w:cs="Times New Roman"/>
          <w:sz w:val="28"/>
          <w:szCs w:val="28"/>
        </w:rPr>
        <w:t xml:space="preserve">стимулировании </w:t>
      </w:r>
      <w:r w:rsidRPr="001B3F77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не должна сводиться только к финансированию. Главными механизмами государственного регулирования также являются методы стимулирования рынка наукоемкой продукции, инновационного предпринимательства, активизации обновления основных фондов и внедрения новых технологий в сфере промышленности, создание инфраструктуры поддержки.  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Pr="001B3F77">
        <w:rPr>
          <w:rFonts w:ascii="Times New Roman" w:hAnsi="Times New Roman" w:cs="Times New Roman"/>
          <w:sz w:val="28"/>
        </w:rPr>
        <w:t xml:space="preserve">инструменты повышения производительности национальной экономики предусматривают создание структур, способствующих </w:t>
      </w:r>
      <w:r w:rsidR="00292881">
        <w:rPr>
          <w:rFonts w:ascii="Times New Roman" w:hAnsi="Times New Roman" w:cs="Times New Roman"/>
          <w:sz w:val="28"/>
        </w:rPr>
        <w:t xml:space="preserve">реализации </w:t>
      </w:r>
      <w:r w:rsidRPr="001B3F77">
        <w:rPr>
          <w:rFonts w:ascii="Times New Roman" w:hAnsi="Times New Roman" w:cs="Times New Roman"/>
          <w:sz w:val="28"/>
        </w:rPr>
        <w:t>инновационной деятельности. К ним относятся инновационно-технологические центры, центры исследований и технопарки, бизнес-инкубаторы, технико-внедренческие особые эконом</w:t>
      </w:r>
      <w:r w:rsidR="00292881">
        <w:rPr>
          <w:rFonts w:ascii="Times New Roman" w:hAnsi="Times New Roman" w:cs="Times New Roman"/>
          <w:sz w:val="28"/>
        </w:rPr>
        <w:t>ические зоны, технополисы и т.д</w:t>
      </w:r>
      <w:r w:rsidRPr="001B3F77">
        <w:rPr>
          <w:rFonts w:ascii="Times New Roman" w:hAnsi="Times New Roman" w:cs="Times New Roman"/>
          <w:sz w:val="28"/>
        </w:rPr>
        <w:t>.</w:t>
      </w:r>
      <w:r w:rsidR="00531538">
        <w:rPr>
          <w:rStyle w:val="a3"/>
          <w:rFonts w:ascii="Times New Roman" w:hAnsi="Times New Roman"/>
          <w:sz w:val="28"/>
        </w:rPr>
        <w:footnoteReference w:id="13"/>
      </w:r>
      <w:r w:rsidRPr="001B3F77">
        <w:rPr>
          <w:rFonts w:ascii="Times New Roman" w:hAnsi="Times New Roman" w:cs="Times New Roman"/>
          <w:sz w:val="28"/>
        </w:rPr>
        <w:t xml:space="preserve"> Основной целью создания подобных механизмов является консолидация национальных активов и повышение эффективности стратегического управления ими. </w:t>
      </w:r>
    </w:p>
    <w:p w:rsidR="005E4FE8" w:rsidRDefault="00F73AB8" w:rsidP="007F4D6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>Перед государством встают задачи по созданию экономических, правовых и организационных условий для инновационной деятельности, поддержанию продукции отечественных товаропроизводителей, повышению конкурентоспособности и расширении их доли на внутреннем и мировом рынках. Указанные задачи государство решает путем проведения инновационной политики, которая представляет собой комплекс целей, методов воздействия государственных структур на экономику и общество в целом, связанную с повышением экономической и социальной эффективности инновационных процессов</w:t>
      </w:r>
    </w:p>
    <w:p w:rsidR="007563C1" w:rsidRDefault="007563C1" w:rsidP="007F4D6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3C1" w:rsidRDefault="007563C1" w:rsidP="007F4D6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3C1" w:rsidRDefault="007563C1" w:rsidP="007F4D6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3C1" w:rsidRDefault="007563C1" w:rsidP="00873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3C1" w:rsidRPr="007F4D6F" w:rsidRDefault="007563C1" w:rsidP="007563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3AB8" w:rsidRPr="007563C1" w:rsidRDefault="00F73AB8" w:rsidP="007F4D6F">
      <w:pPr>
        <w:pStyle w:val="a7"/>
        <w:numPr>
          <w:ilvl w:val="0"/>
          <w:numId w:val="4"/>
        </w:numPr>
        <w:spacing w:after="0" w:line="360" w:lineRule="auto"/>
        <w:ind w:left="-426"/>
        <w:jc w:val="center"/>
        <w:rPr>
          <w:rFonts w:ascii="Times New Roman" w:hAnsi="Times New Roman" w:cs="Times New Roman"/>
          <w:sz w:val="32"/>
          <w:szCs w:val="28"/>
        </w:rPr>
      </w:pPr>
      <w:r w:rsidRPr="007563C1">
        <w:rPr>
          <w:rFonts w:ascii="Times New Roman" w:hAnsi="Times New Roman" w:cs="Times New Roman"/>
          <w:sz w:val="32"/>
          <w:szCs w:val="28"/>
        </w:rPr>
        <w:lastRenderedPageBreak/>
        <w:t>Инновационная политика правительства Великобритании</w:t>
      </w:r>
    </w:p>
    <w:p w:rsidR="00F73AB8" w:rsidRPr="007F4D6F" w:rsidRDefault="00F73AB8" w:rsidP="007F4D6F">
      <w:pPr>
        <w:pStyle w:val="a7"/>
        <w:numPr>
          <w:ilvl w:val="1"/>
          <w:numId w:val="4"/>
        </w:numPr>
        <w:spacing w:after="240" w:line="36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7F4D6F">
        <w:rPr>
          <w:rFonts w:ascii="Times New Roman" w:hAnsi="Times New Roman" w:cs="Times New Roman"/>
          <w:sz w:val="28"/>
          <w:szCs w:val="28"/>
        </w:rPr>
        <w:t xml:space="preserve"> Формирование инновационной политики</w:t>
      </w:r>
    </w:p>
    <w:p w:rsidR="007900D2" w:rsidRDefault="002E388C" w:rsidP="007900D2">
      <w:pPr>
        <w:tabs>
          <w:tab w:val="left" w:pos="737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Инновационная деятельность </w:t>
      </w:r>
      <w:r w:rsidR="00531538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ключевых приоритетов британского правительства </w:t>
      </w:r>
      <w:r w:rsidR="00531538">
        <w:rPr>
          <w:rFonts w:ascii="Times New Roman" w:hAnsi="Times New Roman" w:cs="Times New Roman"/>
          <w:sz w:val="28"/>
          <w:szCs w:val="28"/>
          <w:lang w:eastAsia="ru-RU"/>
        </w:rPr>
        <w:t xml:space="preserve">еще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конца 1990-х гг., когда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у власти были лейбористы во главе с Тони Блэром. В стране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стал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олитика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AB8" w:rsidRPr="001B3F77">
        <w:rPr>
          <w:rFonts w:ascii="Times New Roman" w:hAnsi="Times New Roman" w:cs="Times New Roman"/>
          <w:sz w:val="28"/>
          <w:szCs w:val="28"/>
        </w:rPr>
        <w:t>научно-технического сектора экономики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направленная 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>на формирование благоприятных условий для осуществления инновационной деятельности. Государство увеличивало затраты на финансирование и</w:t>
      </w:r>
      <w:r w:rsidR="00904506" w:rsidRPr="001B3F77">
        <w:rPr>
          <w:rFonts w:ascii="Times New Roman" w:hAnsi="Times New Roman" w:cs="Times New Roman"/>
          <w:sz w:val="28"/>
          <w:szCs w:val="28"/>
          <w:lang w:eastAsia="ru-RU"/>
        </w:rPr>
        <w:t>сследований и разработок (ИР), в</w:t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>озросло число и размеры территориальных инновационных кластеров (ТИК), идея которых получила развитие в университетах США.</w:t>
      </w:r>
      <w:r w:rsidR="00F73AB8" w:rsidRPr="001B3F77">
        <w:rPr>
          <w:rStyle w:val="Footnoteanchor"/>
          <w:rFonts w:ascii="Times New Roman" w:hAnsi="Times New Roman" w:cs="Times New Roman"/>
          <w:sz w:val="28"/>
          <w:szCs w:val="28"/>
        </w:rPr>
        <w:footnoteReference w:id="14"/>
      </w:r>
      <w:r w:rsidR="00F73AB8"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Великобритания поставила в качестве ключевой цели сократить разрыв в уровне производительности с Францией, Германией и США. </w:t>
      </w:r>
    </w:p>
    <w:p w:rsidR="00F73AB8" w:rsidRPr="007900D2" w:rsidRDefault="00F73AB8" w:rsidP="007900D2">
      <w:pPr>
        <w:tabs>
          <w:tab w:val="left" w:pos="7370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 </w:t>
      </w:r>
      <w:r w:rsidR="0019602A">
        <w:rPr>
          <w:rFonts w:ascii="Times New Roman" w:hAnsi="Times New Roman" w:cs="Times New Roman"/>
          <w:sz w:val="28"/>
          <w:szCs w:val="28"/>
          <w:lang w:eastAsia="ru-RU"/>
        </w:rPr>
        <w:t>экономике</w:t>
      </w:r>
      <w:r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наблюдался дефицит физического и человеческого капитала, </w:t>
      </w:r>
      <w:r w:rsidR="007900D2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сокращение государственных затрат в связи с кризисными явлениями в экономике страны привели к </w:t>
      </w:r>
      <w:r w:rsidR="008E748D">
        <w:rPr>
          <w:rFonts w:ascii="Times New Roman" w:hAnsi="Times New Roman" w:cs="Times New Roman"/>
          <w:sz w:val="28"/>
          <w:szCs w:val="28"/>
          <w:lang w:eastAsia="ru-RU"/>
        </w:rPr>
        <w:t>сокращению</w:t>
      </w:r>
      <w:r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на НИОКР. С целью преодолеть отставание от ведущих стран, в 2004 г. правительство Великобритании разработало стратегию </w:t>
      </w:r>
      <w:r w:rsidRPr="001B3F77">
        <w:rPr>
          <w:rFonts w:ascii="Times New Roman" w:hAnsi="Times New Roman" w:cs="Times New Roman"/>
          <w:sz w:val="28"/>
          <w:szCs w:val="28"/>
        </w:rPr>
        <w:t xml:space="preserve">государственной поддержки развития высоких технологий, основные принципы которой представлены в докладе Министерства финансов «Глобальные экономические проблемы в долгосрочном периоде и возможности для Великобритании». Кроме того, </w:t>
      </w:r>
      <w:r w:rsidRPr="001B3F77">
        <w:rPr>
          <w:rFonts w:ascii="Times New Roman" w:hAnsi="Times New Roman" w:cs="Times New Roman"/>
          <w:sz w:val="28"/>
          <w:szCs w:val="28"/>
          <w:lang w:eastAsia="ru-RU"/>
        </w:rPr>
        <w:t xml:space="preserve"> была опубликована десятилетняя </w:t>
      </w:r>
      <w:r w:rsidRPr="001B3F77">
        <w:rPr>
          <w:rFonts w:ascii="Times New Roman" w:hAnsi="Times New Roman" w:cs="Times New Roman"/>
          <w:sz w:val="28"/>
          <w:szCs w:val="28"/>
        </w:rPr>
        <w:t>«Программа инвестиций в науку и инновационные технологии на 2004 - 2014 гг.», предполагающая совместную деятельность Министерства финансов, Министерства торговли и промышленности и Министерства по делам детей, школ и семей.</w:t>
      </w:r>
      <w:r w:rsidRPr="001B3F77">
        <w:rPr>
          <w:rStyle w:val="Footnoteanchor"/>
          <w:rFonts w:ascii="Times New Roman" w:hAnsi="Times New Roman" w:cs="Times New Roman"/>
          <w:sz w:val="28"/>
          <w:szCs w:val="28"/>
        </w:rPr>
        <w:footnoteReference w:id="15"/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В период с 2005 по 2008 гг. в структуре национальной инновационной системы (НИС) Великобритании происходили структурные реформы, направленные на повышение эффективности механизма управления инновациями. Новая структура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>НИС стала более диверсифицированной и организационно устойчивой, по сравнению с прежней. Изменения</w:t>
      </w:r>
      <w:r w:rsidRPr="001B3F77">
        <w:rPr>
          <w:rFonts w:ascii="Times New Roman" w:hAnsi="Times New Roman" w:cs="Times New Roman"/>
          <w:sz w:val="32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коснулись государственных органов исполнительной власти, отвечающих за инновационную деятельность.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Так, в условиях экономического кризиса 2008г. в Великобритании была разработана стратегия инновационного развития «Инновационная нация», в которой изложены </w:t>
      </w:r>
      <w:r w:rsidR="00E54D55">
        <w:rPr>
          <w:rFonts w:ascii="Times New Roman" w:hAnsi="Times New Roman" w:cs="Times New Roman"/>
          <w:sz w:val="28"/>
          <w:szCs w:val="28"/>
        </w:rPr>
        <w:t xml:space="preserve">направления и приоритеты </w:t>
      </w:r>
      <w:r w:rsidRPr="001B3F77">
        <w:rPr>
          <w:rFonts w:ascii="Times New Roman" w:hAnsi="Times New Roman" w:cs="Times New Roman"/>
          <w:sz w:val="28"/>
          <w:szCs w:val="28"/>
        </w:rPr>
        <w:t>инновационной политики государства</w:t>
      </w:r>
      <w:r w:rsidR="001C2F66">
        <w:rPr>
          <w:rFonts w:ascii="Times New Roman" w:hAnsi="Times New Roman" w:cs="Times New Roman"/>
          <w:sz w:val="28"/>
          <w:szCs w:val="28"/>
        </w:rPr>
        <w:t xml:space="preserve"> на десятилетний период, а также </w:t>
      </w:r>
      <w:r w:rsidRPr="001B3F77">
        <w:rPr>
          <w:rFonts w:ascii="Times New Roman" w:hAnsi="Times New Roman" w:cs="Times New Roman"/>
          <w:sz w:val="28"/>
          <w:szCs w:val="28"/>
        </w:rPr>
        <w:t>объясняется ее роль в формировании спроса на инновации.</w:t>
      </w:r>
      <w:r w:rsidRPr="001B3F77">
        <w:rPr>
          <w:rStyle w:val="Footnoteanchor"/>
          <w:rFonts w:ascii="Times New Roman" w:hAnsi="Times New Roman" w:cs="Times New Roman"/>
        </w:rPr>
        <w:footnoteReference w:id="16"/>
      </w:r>
      <w:r w:rsidRPr="001B3F77">
        <w:rPr>
          <w:rFonts w:ascii="Times New Roman" w:hAnsi="Times New Roman" w:cs="Times New Roman"/>
          <w:sz w:val="28"/>
          <w:szCs w:val="28"/>
        </w:rPr>
        <w:t xml:space="preserve"> Данная стратегия по науке и инновациям является основным государственным документом в области инновационной политики. </w:t>
      </w:r>
    </w:p>
    <w:p w:rsidR="00F73AB8" w:rsidRPr="007A5D3C" w:rsidRDefault="00F73AB8" w:rsidP="0001263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>Доклад основывается на национальной программе Великобритании инвестиций в сферу науки и инноваций на десятилетний период 2004-2014 гг., и был впервые опубликован Департаментом инноваций, университетов и профессиональной подготовки (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DIUS</w:t>
      </w:r>
      <w:r w:rsidRPr="001B3F77">
        <w:rPr>
          <w:rFonts w:ascii="Times New Roman" w:hAnsi="Times New Roman" w:cs="Times New Roman"/>
          <w:sz w:val="28"/>
          <w:szCs w:val="28"/>
        </w:rPr>
        <w:t>).</w:t>
      </w:r>
      <w:r w:rsidRPr="001B3F77">
        <w:rPr>
          <w:rStyle w:val="Footnoteanchor"/>
          <w:rFonts w:ascii="Times New Roman" w:hAnsi="Times New Roman" w:cs="Times New Roman"/>
        </w:rPr>
        <w:footnoteReference w:id="17"/>
      </w:r>
      <w:r w:rsidR="00824C94">
        <w:rPr>
          <w:rFonts w:ascii="Times New Roman" w:hAnsi="Times New Roman" w:cs="Times New Roman"/>
          <w:sz w:val="28"/>
          <w:szCs w:val="28"/>
        </w:rPr>
        <w:t xml:space="preserve"> Именно данная</w:t>
      </w:r>
      <w:r w:rsidRPr="001B3F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24C94">
        <w:rPr>
          <w:rFonts w:ascii="Times New Roman" w:hAnsi="Times New Roman" w:cs="Times New Roman"/>
          <w:sz w:val="28"/>
          <w:szCs w:val="28"/>
        </w:rPr>
        <w:t>изация</w:t>
      </w:r>
      <w:r w:rsidRPr="001B3F77">
        <w:rPr>
          <w:rFonts w:ascii="Times New Roman" w:hAnsi="Times New Roman" w:cs="Times New Roman"/>
          <w:sz w:val="28"/>
          <w:szCs w:val="28"/>
        </w:rPr>
        <w:t xml:space="preserve"> отвечает за формирование и реализацию научной и инновационной политики Великобритании. Механизм эффективной координации инновационной политики функционирует как на национальном, так и на региональном уровнях в Великобритании. В целях оценки и повышения эффективности инновационной политики в Великобритании </w:t>
      </w:r>
      <w:r w:rsidRPr="007A5D3C">
        <w:rPr>
          <w:rFonts w:ascii="Times New Roman" w:hAnsi="Times New Roman" w:cs="Times New Roman"/>
          <w:sz w:val="28"/>
          <w:szCs w:val="28"/>
        </w:rPr>
        <w:t>ежегодно выпускается отчет об инновационной стратегии.</w:t>
      </w:r>
    </w:p>
    <w:p w:rsidR="007107F1" w:rsidRDefault="00B53C1F" w:rsidP="007107F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D3C">
        <w:rPr>
          <w:rFonts w:ascii="Times New Roman" w:hAnsi="Times New Roman" w:cs="Times New Roman"/>
          <w:sz w:val="28"/>
          <w:szCs w:val="28"/>
        </w:rPr>
        <w:t xml:space="preserve">Правительство Великобритании </w:t>
      </w:r>
      <w:r w:rsidR="00980D49" w:rsidRPr="007A5D3C">
        <w:rPr>
          <w:rFonts w:ascii="Times New Roman" w:hAnsi="Times New Roman" w:cs="Times New Roman"/>
          <w:sz w:val="28"/>
          <w:szCs w:val="28"/>
        </w:rPr>
        <w:t xml:space="preserve">утвердило текущее направление </w:t>
      </w:r>
      <w:r w:rsidRPr="007A5D3C">
        <w:rPr>
          <w:rFonts w:ascii="Times New Roman" w:hAnsi="Times New Roman" w:cs="Times New Roman"/>
          <w:sz w:val="28"/>
          <w:szCs w:val="28"/>
        </w:rPr>
        <w:t xml:space="preserve">инновационной политики и инициативы в </w:t>
      </w:r>
      <w:r w:rsidR="00980D49" w:rsidRPr="007A5D3C">
        <w:rPr>
          <w:rFonts w:ascii="Times New Roman" w:hAnsi="Times New Roman" w:cs="Times New Roman"/>
          <w:sz w:val="28"/>
          <w:szCs w:val="28"/>
        </w:rPr>
        <w:t>С</w:t>
      </w:r>
      <w:r w:rsidR="00C04238" w:rsidRPr="007A5D3C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980D49" w:rsidRPr="007A5D3C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7A5D3C">
        <w:rPr>
          <w:rFonts w:ascii="Times New Roman" w:hAnsi="Times New Roman" w:cs="Times New Roman"/>
          <w:sz w:val="28"/>
          <w:szCs w:val="28"/>
        </w:rPr>
        <w:t>развития</w:t>
      </w:r>
      <w:r w:rsidR="007A5D3C" w:rsidRPr="007A5D3C">
        <w:rPr>
          <w:rFonts w:ascii="Times New Roman" w:hAnsi="Times New Roman" w:cs="Times New Roman"/>
          <w:sz w:val="28"/>
          <w:szCs w:val="28"/>
        </w:rPr>
        <w:t xml:space="preserve"> </w:t>
      </w:r>
      <w:r w:rsidR="007A5D3C" w:rsidRPr="007A5D3C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7A5D3C" w:rsidRPr="007A5D3C">
        <w:rPr>
          <w:rFonts w:ascii="Times New Roman" w:hAnsi="Times New Roman" w:cs="Times New Roman"/>
          <w:sz w:val="28"/>
          <w:szCs w:val="28"/>
        </w:rPr>
        <w:t xml:space="preserve"> </w:t>
      </w:r>
      <w:r w:rsidR="007A5D3C" w:rsidRPr="007A5D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A5D3C" w:rsidRPr="007A5D3C">
        <w:rPr>
          <w:rFonts w:ascii="Times New Roman" w:hAnsi="Times New Roman" w:cs="Times New Roman"/>
          <w:sz w:val="28"/>
          <w:szCs w:val="28"/>
        </w:rPr>
        <w:t xml:space="preserve"> </w:t>
      </w:r>
      <w:r w:rsidR="007A5D3C" w:rsidRPr="007A5D3C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7A5D3C" w:rsidRPr="007A5D3C">
        <w:rPr>
          <w:rFonts w:ascii="Times New Roman" w:hAnsi="Times New Roman" w:cs="Times New Roman"/>
          <w:sz w:val="28"/>
          <w:szCs w:val="28"/>
        </w:rPr>
        <w:t xml:space="preserve"> </w:t>
      </w:r>
      <w:r w:rsidR="007A5D3C" w:rsidRPr="007A5D3C">
        <w:rPr>
          <w:rFonts w:ascii="Times New Roman" w:hAnsi="Times New Roman" w:cs="Times New Roman"/>
          <w:sz w:val="28"/>
          <w:szCs w:val="28"/>
          <w:lang w:val="en-US"/>
        </w:rPr>
        <w:t>Strategy</w:t>
      </w:r>
      <w:r w:rsidR="007A5D3C" w:rsidRPr="007A5D3C">
        <w:rPr>
          <w:rFonts w:ascii="Times New Roman" w:hAnsi="Times New Roman" w:cs="Times New Roman"/>
          <w:sz w:val="28"/>
          <w:szCs w:val="28"/>
        </w:rPr>
        <w:t xml:space="preserve"> </w:t>
      </w:r>
      <w:r w:rsidR="007A5D3C" w:rsidRPr="007A5D3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A5D3C" w:rsidRPr="007A5D3C">
        <w:rPr>
          <w:rFonts w:ascii="Times New Roman" w:hAnsi="Times New Roman" w:cs="Times New Roman"/>
          <w:sz w:val="28"/>
          <w:szCs w:val="28"/>
        </w:rPr>
        <w:t xml:space="preserve"> </w:t>
      </w:r>
      <w:r w:rsidR="007A5D3C" w:rsidRPr="007A5D3C"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="007A5D3C" w:rsidRPr="007A5D3C">
        <w:rPr>
          <w:rFonts w:ascii="Times New Roman" w:hAnsi="Times New Roman" w:cs="Times New Roman"/>
          <w:sz w:val="28"/>
          <w:szCs w:val="28"/>
        </w:rPr>
        <w:t xml:space="preserve"> (</w:t>
      </w:r>
      <w:r w:rsidR="007A5D3C" w:rsidRPr="007A5D3C">
        <w:rPr>
          <w:rFonts w:ascii="Times New Roman" w:hAnsi="Times New Roman" w:cs="Times New Roman"/>
          <w:sz w:val="28"/>
          <w:szCs w:val="28"/>
          <w:lang w:val="en-US"/>
        </w:rPr>
        <w:t>IRSG</w:t>
      </w:r>
      <w:r w:rsidR="007A5D3C" w:rsidRPr="007A5D3C">
        <w:rPr>
          <w:rFonts w:ascii="Times New Roman" w:hAnsi="Times New Roman" w:cs="Times New Roman"/>
          <w:sz w:val="28"/>
          <w:szCs w:val="28"/>
        </w:rPr>
        <w:t>)</w:t>
      </w:r>
      <w:r w:rsidRPr="007A5D3C">
        <w:rPr>
          <w:rFonts w:ascii="Times New Roman" w:hAnsi="Times New Roman" w:cs="Times New Roman"/>
          <w:sz w:val="28"/>
          <w:szCs w:val="28"/>
        </w:rPr>
        <w:t>, которая была опубликована в декабре 2011 г.</w:t>
      </w:r>
      <w:r w:rsidRPr="007A5D3C">
        <w:rPr>
          <w:rStyle w:val="a3"/>
          <w:rFonts w:ascii="Times New Roman" w:hAnsi="Times New Roman"/>
          <w:sz w:val="28"/>
          <w:szCs w:val="28"/>
        </w:rPr>
        <w:footnoteReference w:id="18"/>
      </w:r>
      <w:r w:rsidR="00E979B3" w:rsidRPr="007A5D3C">
        <w:rPr>
          <w:rFonts w:ascii="Times New Roman" w:hAnsi="Times New Roman" w:cs="Times New Roman"/>
          <w:sz w:val="28"/>
          <w:szCs w:val="28"/>
        </w:rPr>
        <w:t xml:space="preserve"> В данном документе </w:t>
      </w:r>
      <w:r w:rsidR="00677395" w:rsidRPr="007A5D3C">
        <w:rPr>
          <w:rFonts w:ascii="Times New Roman" w:hAnsi="Times New Roman" w:cs="Times New Roman"/>
          <w:sz w:val="28"/>
          <w:szCs w:val="28"/>
        </w:rPr>
        <w:t>подчеркивается важность университетов, как «национальных активов», в процессе формирования</w:t>
      </w:r>
      <w:r w:rsidR="00677395">
        <w:rPr>
          <w:rFonts w:ascii="Times New Roman" w:hAnsi="Times New Roman" w:cs="Times New Roman"/>
          <w:sz w:val="28"/>
          <w:szCs w:val="28"/>
        </w:rPr>
        <w:t xml:space="preserve"> экономики знаний, изучается их роль сегодня и то, и как она будет меняться в будущем.</w:t>
      </w:r>
      <w:r w:rsidR="00511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36" w:rsidRDefault="00D00236" w:rsidP="00D0023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63C1" w:rsidRPr="007107F1" w:rsidRDefault="007563C1" w:rsidP="00D0023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3AB8" w:rsidRPr="007A66B7" w:rsidRDefault="00F73AB8" w:rsidP="00F73AB8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66B7">
        <w:rPr>
          <w:rFonts w:ascii="Times New Roman" w:hAnsi="Times New Roman" w:cs="Times New Roman"/>
          <w:sz w:val="28"/>
          <w:szCs w:val="28"/>
        </w:rPr>
        <w:lastRenderedPageBreak/>
        <w:t>2.2 Приоритеты инновационной политики Великобритании</w:t>
      </w:r>
    </w:p>
    <w:p w:rsidR="00712FFC" w:rsidRPr="001B3F77" w:rsidRDefault="00712FFC" w:rsidP="00F73AB8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</w:rPr>
      </w:pPr>
    </w:p>
    <w:p w:rsidR="00E31177" w:rsidRPr="001B3F77" w:rsidRDefault="00E31177" w:rsidP="00E31177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В инновационной стратегии перед изложением мер правительства, указывается следующее: </w:t>
      </w:r>
      <w:r w:rsidRPr="001B3F77">
        <w:rPr>
          <w:rFonts w:ascii="Times New Roman" w:hAnsi="Times New Roman" w:cs="Times New Roman"/>
          <w:i/>
          <w:sz w:val="28"/>
          <w:szCs w:val="28"/>
        </w:rPr>
        <w:t>«Наши ресурсы для инвестирования ограничены, поэтому необходимо выбрать в качестве приоритета инновационные технологии на основе тщательно выбранных критериев и независимой оценки возможностей Британии использовать свой потенциал, чтобы преуспеть на мировых рынках».</w:t>
      </w:r>
      <w:r w:rsidRPr="001B3F77">
        <w:rPr>
          <w:rStyle w:val="Footnoteanchor"/>
          <w:rFonts w:ascii="Times New Roman" w:hAnsi="Times New Roman" w:cs="Times New Roman"/>
        </w:rPr>
        <w:footnoteReference w:id="19"/>
      </w:r>
    </w:p>
    <w:p w:rsidR="00F73AB8" w:rsidRPr="001B3F77" w:rsidRDefault="00634835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Английским</w:t>
      </w:r>
      <w:r w:rsidR="00FE2151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r w:rsidR="00F73AB8" w:rsidRPr="001B3F77">
        <w:rPr>
          <w:rFonts w:ascii="Times New Roman" w:hAnsi="Times New Roman" w:cs="Times New Roman"/>
          <w:sz w:val="28"/>
          <w:szCs w:val="28"/>
        </w:rPr>
        <w:t xml:space="preserve"> были сформулированы главные принципы, на которых базируется современная инновационной политика Великобритании. Во-первых, это поощрение научно-исследовательских работ общего характера, которые являются фундаментом развития научно-технического потенциала экономики.</w:t>
      </w:r>
      <w:r w:rsidR="00C95404">
        <w:rPr>
          <w:rFonts w:ascii="Times New Roman" w:hAnsi="Times New Roman" w:cs="Times New Roman"/>
          <w:sz w:val="28"/>
          <w:szCs w:val="28"/>
        </w:rPr>
        <w:t xml:space="preserve"> </w:t>
      </w:r>
      <w:r w:rsidR="00F73AB8" w:rsidRPr="001B3F77">
        <w:rPr>
          <w:rFonts w:ascii="Times New Roman" w:hAnsi="Times New Roman" w:cs="Times New Roman"/>
          <w:sz w:val="28"/>
          <w:szCs w:val="28"/>
        </w:rPr>
        <w:t>Во-вторых, государственное содействие в области применения научных достижений в производстве, а также стимулирование технического прогресса в промышленном секторе. В-третьих, подготовка высококвалифицированных научно-технических специалистов путем стимулирования и поддержки научной деятельности в университетах.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 Документ «Инновационная нация» излагает средне- и долгосрочная государственные политики и приоритеты Великобритании в области научных исследований и разработок. В качестве основных стратегических задач были определены следующие:</w:t>
      </w:r>
    </w:p>
    <w:p w:rsidR="00F73AB8" w:rsidRPr="001B3F77" w:rsidRDefault="00F73AB8" w:rsidP="00F73AB8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увеличить объем совокупных затрат на исследования и разработки с 1,9 до 2,5% национального дохода к 2014 г.; </w:t>
      </w:r>
    </w:p>
    <w:p w:rsidR="00F73AB8" w:rsidRPr="001B3F77" w:rsidRDefault="00F73AB8" w:rsidP="00F73AB8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повысить долю государственных затрат с 0,6 до 0,8%, а частного сектора с 1,3 до 1,7% ВВП;</w:t>
      </w:r>
    </w:p>
    <w:p w:rsidR="00F73AB8" w:rsidRPr="001B3F77" w:rsidRDefault="00F73AB8" w:rsidP="00F73AB8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увеличение затрат на развитие базы НИОКР на 20% в целях поддержания конкурентоспособности  научного сектора;</w:t>
      </w:r>
    </w:p>
    <w:p w:rsidR="00F73AB8" w:rsidRPr="001B3F77" w:rsidRDefault="00F73AB8" w:rsidP="00F73AB8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укрепление сотрудничества между университетами и бизнесом;</w:t>
      </w:r>
    </w:p>
    <w:p w:rsidR="00F73AB8" w:rsidRPr="001B3F77" w:rsidRDefault="00F73AB8" w:rsidP="00F73AB8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lastRenderedPageBreak/>
        <w:t>повышение уровня профессиональных навыков в области науки, технологий, математики и инженерного дела.</w:t>
      </w:r>
      <w:r w:rsidR="00A41B3F">
        <w:rPr>
          <w:rStyle w:val="a3"/>
          <w:rFonts w:ascii="Times New Roman" w:hAnsi="Times New Roman"/>
          <w:sz w:val="28"/>
          <w:szCs w:val="28"/>
        </w:rPr>
        <w:footnoteReference w:id="20"/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В целях отслеживания результатов инновационной стратегии было решено, начиная с 2008 г., ежегодно выпускать сборник «Ежегодный инновационный доклад».</w:t>
      </w:r>
      <w:r w:rsidRPr="001B3F77">
        <w:rPr>
          <w:rStyle w:val="Footnoteanchor"/>
          <w:rFonts w:ascii="Times New Roman" w:hAnsi="Times New Roman" w:cs="Times New Roman"/>
        </w:rPr>
        <w:footnoteReference w:id="21"/>
      </w:r>
      <w:r w:rsidRPr="001B3F77">
        <w:rPr>
          <w:rFonts w:ascii="Times New Roman" w:hAnsi="Times New Roman" w:cs="Times New Roman"/>
          <w:sz w:val="28"/>
          <w:szCs w:val="28"/>
        </w:rPr>
        <w:t xml:space="preserve"> В нем публикуются отчеты о выполнении поставленных задач, а также приводятся показатели инновационной активности в Великобритании. 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«Инновационная нация» содержит рекомендации не только по использованию инструментов закупок и регулирования в целях стимулирования инноваций в предпринимательском секторе, но и касательно повышения инновационной активности в государственном секторе, в частности в сфере государственных услуг. В инновационной стратегии правительства были поставлены следующие цели:</w:t>
      </w:r>
    </w:p>
    <w:p w:rsidR="00F73AB8" w:rsidRPr="001B3F77" w:rsidRDefault="00F73AB8" w:rsidP="00376A1D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учреждение нового фонда, призванного способствовать развитию профессиональной подготовки кадров во взаимодействии с бизнесом;</w:t>
      </w:r>
    </w:p>
    <w:p w:rsidR="00F73AB8" w:rsidRPr="001B3F77" w:rsidRDefault="00F73AB8" w:rsidP="00376A1D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разработка ведомствами планов государственных закупок, ориентированных на инновации;</w:t>
      </w:r>
    </w:p>
    <w:p w:rsidR="00F73AB8" w:rsidRPr="001B3F77" w:rsidRDefault="00F73AB8" w:rsidP="00376A1D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развитие региональных инициатив инновационных ваучеров для налаживания контактов между бизнесом и исследовательскими организациями;</w:t>
      </w:r>
    </w:p>
    <w:p w:rsidR="00F73AB8" w:rsidRPr="001B3F77" w:rsidRDefault="00F73AB8" w:rsidP="00376A1D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создание новых сетей и лабораторий для инноваций в государственном секторе;</w:t>
      </w:r>
    </w:p>
    <w:p w:rsidR="00F73AB8" w:rsidRPr="001B3F77" w:rsidRDefault="00F73AB8" w:rsidP="00376A1D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организация на базе университетского сектора Центра исследования инновация для измерения анализа инновационных процессов.</w:t>
      </w:r>
      <w:r w:rsidR="00FE5800">
        <w:rPr>
          <w:rStyle w:val="a3"/>
          <w:rFonts w:ascii="Times New Roman" w:hAnsi="Times New Roman"/>
          <w:sz w:val="28"/>
          <w:szCs w:val="28"/>
        </w:rPr>
        <w:footnoteReference w:id="22"/>
      </w:r>
    </w:p>
    <w:p w:rsidR="00F73AB8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>Кроме того, в настоящей инновационной политике  Великобритании определены ключевые высокотехнологичные секторы  и инновационные технологии</w:t>
      </w:r>
      <w:r w:rsidR="00435D2B">
        <w:rPr>
          <w:rFonts w:ascii="Times New Roman" w:hAnsi="Times New Roman" w:cs="Times New Roman"/>
          <w:sz w:val="28"/>
          <w:szCs w:val="28"/>
        </w:rPr>
        <w:t>, которые изложены в</w:t>
      </w:r>
      <w:r w:rsidR="00980D49">
        <w:rPr>
          <w:rFonts w:ascii="Times New Roman" w:hAnsi="Times New Roman" w:cs="Times New Roman"/>
          <w:sz w:val="28"/>
          <w:szCs w:val="28"/>
        </w:rPr>
        <w:t xml:space="preserve"> Стратегии инновационного развития</w:t>
      </w:r>
      <w:r w:rsidR="008A3686">
        <w:rPr>
          <w:rFonts w:ascii="Times New Roman" w:hAnsi="Times New Roman" w:cs="Times New Roman"/>
          <w:sz w:val="28"/>
          <w:szCs w:val="28"/>
        </w:rPr>
        <w:t xml:space="preserve"> </w:t>
      </w:r>
      <w:r w:rsidR="000F3E5D" w:rsidRPr="000F3E5D">
        <w:rPr>
          <w:rFonts w:ascii="Times New Roman" w:hAnsi="Times New Roman" w:cs="Times New Roman"/>
          <w:sz w:val="28"/>
          <w:szCs w:val="28"/>
        </w:rPr>
        <w:t>(</w:t>
      </w:r>
      <w:r w:rsidR="000F3E5D">
        <w:rPr>
          <w:rFonts w:ascii="Times New Roman" w:hAnsi="Times New Roman" w:cs="Times New Roman"/>
          <w:sz w:val="28"/>
          <w:szCs w:val="28"/>
          <w:lang w:val="en-US"/>
        </w:rPr>
        <w:t>IRSG</w:t>
      </w:r>
      <w:r w:rsidR="000F3E5D" w:rsidRPr="000F3E5D">
        <w:rPr>
          <w:rFonts w:ascii="Times New Roman" w:hAnsi="Times New Roman" w:cs="Times New Roman"/>
          <w:sz w:val="28"/>
          <w:szCs w:val="28"/>
        </w:rPr>
        <w:t xml:space="preserve">) </w:t>
      </w:r>
      <w:r w:rsidR="008A3686">
        <w:rPr>
          <w:rFonts w:ascii="Times New Roman" w:hAnsi="Times New Roman" w:cs="Times New Roman"/>
          <w:sz w:val="28"/>
          <w:szCs w:val="28"/>
        </w:rPr>
        <w:t>2012 г</w:t>
      </w:r>
      <w:r w:rsidRPr="001B3F77">
        <w:rPr>
          <w:rFonts w:ascii="Times New Roman" w:hAnsi="Times New Roman" w:cs="Times New Roman"/>
          <w:sz w:val="28"/>
          <w:szCs w:val="28"/>
        </w:rPr>
        <w:t>.</w:t>
      </w:r>
      <w:r w:rsidRPr="001B3F77">
        <w:rPr>
          <w:rStyle w:val="Footnoteanchor"/>
          <w:rFonts w:ascii="Times New Roman" w:hAnsi="Times New Roman" w:cs="Times New Roman"/>
        </w:rPr>
        <w:footnoteReference w:id="23"/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8A3686">
        <w:rPr>
          <w:rFonts w:ascii="Times New Roman" w:hAnsi="Times New Roman" w:cs="Times New Roman"/>
          <w:sz w:val="28"/>
          <w:szCs w:val="28"/>
        </w:rPr>
        <w:t xml:space="preserve">Помимо ИР также подчеркивается значимость финансирования инновационных направлений НИОКР. </w:t>
      </w:r>
      <w:r w:rsidRPr="001B3F77">
        <w:rPr>
          <w:rFonts w:ascii="Times New Roman" w:hAnsi="Times New Roman" w:cs="Times New Roman"/>
          <w:sz w:val="28"/>
          <w:szCs w:val="28"/>
        </w:rPr>
        <w:t>Среди ключевых</w:t>
      </w:r>
      <w:r w:rsidR="00435D2B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Pr="001B3F77">
        <w:rPr>
          <w:rFonts w:ascii="Times New Roman" w:hAnsi="Times New Roman" w:cs="Times New Roman"/>
          <w:sz w:val="28"/>
          <w:szCs w:val="28"/>
        </w:rPr>
        <w:t xml:space="preserve"> технологий, в качестве приоритетных для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>осуществления инвестиций, выделяются синтетическая биология, энергосберегающие технологии, возможность аккумулирования энергии, а также исследование графена.</w:t>
      </w:r>
      <w:r w:rsidR="0073550E" w:rsidRPr="001B3F77">
        <w:rPr>
          <w:rStyle w:val="a3"/>
          <w:rFonts w:ascii="Times New Roman" w:hAnsi="Times New Roman"/>
          <w:sz w:val="28"/>
          <w:szCs w:val="28"/>
        </w:rPr>
        <w:footnoteReference w:id="24"/>
      </w:r>
    </w:p>
    <w:p w:rsidR="00F73AB8" w:rsidRPr="00F453F9" w:rsidRDefault="00F453F9" w:rsidP="00F453F9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еще одного приоритета инновационной политики правительства Великобритании стоит выделить улучшение взаимодействия между </w:t>
      </w:r>
      <w:r w:rsidR="005D63EF">
        <w:rPr>
          <w:rFonts w:ascii="Times New Roman" w:hAnsi="Times New Roman" w:cs="Times New Roman"/>
          <w:sz w:val="28"/>
          <w:szCs w:val="28"/>
        </w:rPr>
        <w:t>высшей школой</w:t>
      </w:r>
      <w:r>
        <w:rPr>
          <w:rFonts w:ascii="Times New Roman" w:hAnsi="Times New Roman" w:cs="Times New Roman"/>
          <w:sz w:val="28"/>
          <w:szCs w:val="28"/>
        </w:rPr>
        <w:t xml:space="preserve"> и бизнесом. </w:t>
      </w:r>
      <w:r w:rsidR="00F73AB8" w:rsidRPr="00F453F9">
        <w:rPr>
          <w:rFonts w:ascii="Times New Roman" w:hAnsi="Times New Roman" w:cs="Times New Roman"/>
          <w:sz w:val="28"/>
          <w:szCs w:val="28"/>
        </w:rPr>
        <w:t>Последние несколько лет доля наукоемкого производства, высокотехнологичных товаров и услуг в общем объеме добавочной стоимости в Великобритании значительно возрастала. Однако, по оценкам Департамента инноваций, университетов и профессиональной подготовки, значительная часть результатов исследований и разработок (ИР) и инновационных технологий не достигает стадии коммерциализации. В связи с этим одна из центральных стратегических целей правительства заключается в ориентации на создании благоприятных условия через систему стимулов для различных игроков процесса создания и коммерциализации результатов научной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 осуществляемой в ВУЗах</w:t>
      </w:r>
      <w:r w:rsidR="00F73AB8" w:rsidRPr="00F45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D1A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1B3F77">
        <w:rPr>
          <w:rFonts w:ascii="Times New Roman" w:hAnsi="Times New Roman" w:cs="Times New Roman"/>
          <w:sz w:val="28"/>
        </w:rPr>
        <w:t xml:space="preserve">Одним из проблемных направлений существующей политики остается обеспечение максимального пользования научными данными бизнесом, что, согласно принципам стратегии, необходимо для повышения всеобщего благосостояния. Государство </w:t>
      </w:r>
      <w:r w:rsidR="00262B3F">
        <w:rPr>
          <w:rFonts w:ascii="Times New Roman" w:hAnsi="Times New Roman" w:cs="Times New Roman"/>
          <w:sz w:val="28"/>
        </w:rPr>
        <w:t xml:space="preserve">взяло на себя обязательство по поддержке переноса </w:t>
      </w:r>
      <w:r w:rsidRPr="001B3F77">
        <w:rPr>
          <w:rFonts w:ascii="Times New Roman" w:hAnsi="Times New Roman" w:cs="Times New Roman"/>
          <w:sz w:val="28"/>
        </w:rPr>
        <w:t xml:space="preserve">результатов </w:t>
      </w:r>
      <w:r w:rsidR="00262B3F">
        <w:rPr>
          <w:rFonts w:ascii="Times New Roman" w:hAnsi="Times New Roman" w:cs="Times New Roman"/>
          <w:sz w:val="28"/>
        </w:rPr>
        <w:t xml:space="preserve">исследовательской </w:t>
      </w:r>
      <w:r w:rsidRPr="001B3F77">
        <w:rPr>
          <w:rFonts w:ascii="Times New Roman" w:hAnsi="Times New Roman" w:cs="Times New Roman"/>
          <w:sz w:val="28"/>
        </w:rPr>
        <w:t xml:space="preserve">деятельности из науки в область </w:t>
      </w:r>
      <w:r w:rsidR="00262B3F">
        <w:rPr>
          <w:rFonts w:ascii="Times New Roman" w:hAnsi="Times New Roman" w:cs="Times New Roman"/>
          <w:sz w:val="28"/>
        </w:rPr>
        <w:t>бизнеса</w:t>
      </w:r>
      <w:r w:rsidRPr="001B3F77">
        <w:rPr>
          <w:rFonts w:ascii="Times New Roman" w:hAnsi="Times New Roman" w:cs="Times New Roman"/>
          <w:sz w:val="28"/>
        </w:rPr>
        <w:t xml:space="preserve"> посредством </w:t>
      </w:r>
      <w:r w:rsidR="00262B3F">
        <w:rPr>
          <w:rFonts w:ascii="Times New Roman" w:hAnsi="Times New Roman" w:cs="Times New Roman"/>
          <w:sz w:val="28"/>
        </w:rPr>
        <w:t xml:space="preserve">учреждения </w:t>
      </w:r>
      <w:r w:rsidRPr="001B3F77">
        <w:rPr>
          <w:rFonts w:ascii="Times New Roman" w:hAnsi="Times New Roman" w:cs="Times New Roman"/>
          <w:sz w:val="28"/>
        </w:rPr>
        <w:t>Инновационного фонда высшего образования (Higher Education Innovation Fund), финансирование которого на 2007-</w:t>
      </w:r>
      <w:r w:rsidR="002D545F">
        <w:rPr>
          <w:rFonts w:ascii="Times New Roman" w:hAnsi="Times New Roman" w:cs="Times New Roman"/>
          <w:sz w:val="28"/>
        </w:rPr>
        <w:t>20</w:t>
      </w:r>
      <w:r w:rsidRPr="001B3F77">
        <w:rPr>
          <w:rFonts w:ascii="Times New Roman" w:hAnsi="Times New Roman" w:cs="Times New Roman"/>
          <w:sz w:val="28"/>
        </w:rPr>
        <w:t xml:space="preserve">08 фин.г. было </w:t>
      </w:r>
      <w:r w:rsidR="00262B3F">
        <w:rPr>
          <w:rFonts w:ascii="Times New Roman" w:hAnsi="Times New Roman" w:cs="Times New Roman"/>
          <w:sz w:val="28"/>
        </w:rPr>
        <w:t>решено увеличить до</w:t>
      </w:r>
      <w:r w:rsidRPr="001B3F77">
        <w:rPr>
          <w:rFonts w:ascii="Times New Roman" w:hAnsi="Times New Roman" w:cs="Times New Roman"/>
          <w:sz w:val="28"/>
        </w:rPr>
        <w:t xml:space="preserve"> 110 млн.фунтов.</w:t>
      </w:r>
      <w:r w:rsidRPr="001B3F77">
        <w:rPr>
          <w:rStyle w:val="Footnoteanchor"/>
          <w:rFonts w:ascii="Times New Roman" w:hAnsi="Times New Roman" w:cs="Times New Roman"/>
        </w:rPr>
        <w:footnoteReference w:id="25"/>
      </w:r>
      <w:r w:rsidRPr="001B3F77">
        <w:rPr>
          <w:rFonts w:ascii="Times New Roman" w:hAnsi="Times New Roman" w:cs="Times New Roman"/>
          <w:sz w:val="28"/>
        </w:rPr>
        <w:t xml:space="preserve"> </w:t>
      </w:r>
    </w:p>
    <w:p w:rsidR="00F73AB8" w:rsidRPr="001B3F77" w:rsidRDefault="004D0D1A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Не менее приоритетным направление политики являются п</w:t>
      </w:r>
      <w:r w:rsidR="00F73AB8" w:rsidRPr="001B3F77">
        <w:rPr>
          <w:rFonts w:ascii="Times New Roman" w:hAnsi="Times New Roman" w:cs="Times New Roman"/>
          <w:sz w:val="28"/>
        </w:rPr>
        <w:t>овышение качества профессионального уровня специ</w:t>
      </w:r>
      <w:r>
        <w:rPr>
          <w:rFonts w:ascii="Times New Roman" w:hAnsi="Times New Roman" w:cs="Times New Roman"/>
          <w:sz w:val="28"/>
        </w:rPr>
        <w:t>алистов, занятых в научной сфере</w:t>
      </w:r>
      <w:r w:rsidR="00F73AB8" w:rsidRPr="001B3F77">
        <w:rPr>
          <w:rFonts w:ascii="Times New Roman" w:hAnsi="Times New Roman" w:cs="Times New Roman"/>
          <w:sz w:val="28"/>
        </w:rPr>
        <w:t xml:space="preserve">. Кроме того, в </w:t>
      </w:r>
      <w:r w:rsidR="00F73AB8" w:rsidRPr="001B3F77">
        <w:rPr>
          <w:rFonts w:ascii="Times New Roman" w:hAnsi="Times New Roman" w:cs="Times New Roman"/>
          <w:sz w:val="28"/>
        </w:rPr>
        <w:lastRenderedPageBreak/>
        <w:t xml:space="preserve">документе значимая роль уделяется вопросу о необходимости увеличения публичного вовлечения в научную деятельность. Государство </w:t>
      </w:r>
      <w:r w:rsidR="00D33025">
        <w:rPr>
          <w:rFonts w:ascii="Times New Roman" w:hAnsi="Times New Roman" w:cs="Times New Roman"/>
          <w:sz w:val="28"/>
        </w:rPr>
        <w:t>заявило о своих намерениях</w:t>
      </w:r>
      <w:r w:rsidR="00F73AB8" w:rsidRPr="001B3F77">
        <w:rPr>
          <w:rFonts w:ascii="Times New Roman" w:hAnsi="Times New Roman" w:cs="Times New Roman"/>
          <w:sz w:val="28"/>
        </w:rPr>
        <w:t xml:space="preserve"> </w:t>
      </w:r>
      <w:r w:rsidR="00D33025">
        <w:rPr>
          <w:rFonts w:ascii="Times New Roman" w:hAnsi="Times New Roman" w:cs="Times New Roman"/>
          <w:sz w:val="28"/>
        </w:rPr>
        <w:t>осуществить ряд мер</w:t>
      </w:r>
      <w:r w:rsidR="00F73AB8" w:rsidRPr="001B3F77">
        <w:rPr>
          <w:rFonts w:ascii="Times New Roman" w:hAnsi="Times New Roman" w:cs="Times New Roman"/>
          <w:sz w:val="28"/>
        </w:rPr>
        <w:t>, направленных на повышение общественного сознания и понимания важности научной базы, подчеркивая необходимость решения определенных регулятивных и этических вопросов на отдельных этапах развития новых технологий.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bCs/>
          <w:sz w:val="28"/>
          <w:szCs w:val="28"/>
        </w:rPr>
        <w:t>Высшим уровнем национальной инновационной системы является Кабинет министров Великобритании</w:t>
      </w:r>
      <w:r w:rsidR="00AA754C">
        <w:rPr>
          <w:rFonts w:ascii="Times New Roman" w:hAnsi="Times New Roman" w:cs="Times New Roman"/>
          <w:bCs/>
          <w:sz w:val="28"/>
          <w:szCs w:val="28"/>
        </w:rPr>
        <w:t>.</w:t>
      </w:r>
      <w:r w:rsidRPr="001B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Председатель Кабинета – пр</w:t>
      </w:r>
      <w:r w:rsidR="00AA754C">
        <w:rPr>
          <w:rFonts w:ascii="Times New Roman" w:hAnsi="Times New Roman" w:cs="Times New Roman"/>
          <w:sz w:val="28"/>
          <w:szCs w:val="28"/>
        </w:rPr>
        <w:t xml:space="preserve">емьер-министр, пост которого занимает Дэвид Кэмерон, возглавивший </w:t>
      </w:r>
      <w:r w:rsidRPr="001B3F77">
        <w:rPr>
          <w:rFonts w:ascii="Times New Roman" w:hAnsi="Times New Roman" w:cs="Times New Roman"/>
          <w:sz w:val="28"/>
          <w:szCs w:val="28"/>
        </w:rPr>
        <w:t>коалиционное правительство, сформированное 11 мая 2010 г.  Кроме того в Кабинет входят две группы: первая представлена 22 государственными секретарями, среди которых два – Госсекретарь по инновациям, университетам и профессиональному образованию и Госсекретарь по бизнесу, предприятиям и нормативной реформе – прямо связаны с инновационной деятельностью; вторая состоит из восьми министров, которым предоставлено право участия в заседаниях Кабинета.</w:t>
      </w:r>
      <w:r w:rsidR="00FA7663">
        <w:rPr>
          <w:rStyle w:val="a3"/>
          <w:rFonts w:ascii="Times New Roman" w:hAnsi="Times New Roman"/>
          <w:sz w:val="28"/>
          <w:szCs w:val="28"/>
        </w:rPr>
        <w:footnoteReference w:id="26"/>
      </w:r>
      <w:r w:rsidRPr="001B3F77">
        <w:rPr>
          <w:rFonts w:ascii="Times New Roman" w:hAnsi="Times New Roman" w:cs="Times New Roman"/>
          <w:sz w:val="28"/>
          <w:szCs w:val="28"/>
        </w:rPr>
        <w:t xml:space="preserve"> В состав этой группы входит министр по делам университетов и науки, должность которого с 11 мая 2010 г. занимает Дэвид </w:t>
      </w:r>
      <w:r w:rsidR="00DD6149" w:rsidRPr="001B3F77">
        <w:rPr>
          <w:rFonts w:ascii="Times New Roman" w:hAnsi="Times New Roman" w:cs="Times New Roman"/>
          <w:sz w:val="28"/>
          <w:szCs w:val="28"/>
        </w:rPr>
        <w:t>У</w:t>
      </w:r>
      <w:r w:rsidRPr="001B3F77">
        <w:rPr>
          <w:rFonts w:ascii="Times New Roman" w:hAnsi="Times New Roman" w:cs="Times New Roman"/>
          <w:sz w:val="28"/>
          <w:szCs w:val="28"/>
        </w:rPr>
        <w:t>иллеттс.</w:t>
      </w:r>
    </w:p>
    <w:p w:rsidR="00AA754C" w:rsidRPr="00AA754C" w:rsidRDefault="00F73AB8" w:rsidP="00AA754C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К составу правительственных департаментов, которые напрямую вовлечены в реализацию научно-технологической и инновационной политики Кабинета министров, относятся Департамент инноваций, университетов и профессиональной подготовки (</w:t>
      </w:r>
      <w:r w:rsidRPr="00AA754C">
        <w:rPr>
          <w:rFonts w:ascii="Times New Roman" w:hAnsi="Times New Roman" w:cs="Times New Roman"/>
          <w:sz w:val="28"/>
          <w:szCs w:val="28"/>
          <w:lang w:val="en-GB"/>
        </w:rPr>
        <w:t>DIUS</w:t>
      </w:r>
      <w:r w:rsidRPr="00AA754C">
        <w:rPr>
          <w:rFonts w:ascii="Times New Roman" w:hAnsi="Times New Roman" w:cs="Times New Roman"/>
          <w:sz w:val="28"/>
          <w:szCs w:val="28"/>
        </w:rPr>
        <w:t>) и Департамент по вопросам бизнеса, предприятий и нормативной реформе</w:t>
      </w:r>
      <w:r w:rsidRPr="00AA754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A754C">
        <w:rPr>
          <w:rFonts w:ascii="Times New Roman" w:hAnsi="Times New Roman" w:cs="Times New Roman"/>
          <w:sz w:val="28"/>
          <w:szCs w:val="28"/>
        </w:rPr>
        <w:t xml:space="preserve">В целом научно-технологическая и инновационная политика Великобритании реализуется главным образом через </w:t>
      </w:r>
      <w:r w:rsidRPr="00AA754C">
        <w:rPr>
          <w:rFonts w:ascii="Times New Roman" w:hAnsi="Times New Roman" w:cs="Times New Roman"/>
          <w:sz w:val="28"/>
          <w:szCs w:val="28"/>
          <w:lang w:val="en-GB"/>
        </w:rPr>
        <w:t>DIUS</w:t>
      </w:r>
      <w:r w:rsidRPr="00AA754C">
        <w:rPr>
          <w:rFonts w:ascii="Times New Roman" w:hAnsi="Times New Roman" w:cs="Times New Roman"/>
          <w:sz w:val="28"/>
          <w:szCs w:val="28"/>
        </w:rPr>
        <w:t>.</w:t>
      </w:r>
      <w:r w:rsidR="00AA754C" w:rsidRPr="00AA754C">
        <w:rPr>
          <w:rFonts w:ascii="Times New Roman" w:hAnsi="Times New Roman" w:cs="Times New Roman"/>
          <w:sz w:val="28"/>
          <w:szCs w:val="28"/>
        </w:rPr>
        <w:t xml:space="preserve"> Этот орган</w:t>
      </w:r>
      <w:r w:rsidR="00AA754C">
        <w:rPr>
          <w:rFonts w:ascii="Times New Roman" w:hAnsi="Times New Roman" w:cs="Times New Roman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 xml:space="preserve">отвечает в правительстве за предоставление и распределение госбюджетных ресурсов, выделяемых на науку. Именно DIUS совместно с Министерством финансов  в 2008 г. была подготовлена Инвестиционная программа по науке и инновациям на период 2004–2014 гг., которая фактически отражает позиции правительства о необходимости долгосрочных инвестиций в научно-технологическую и инновационную сферу экономики страны. </w:t>
      </w:r>
      <w:r w:rsidR="00926499">
        <w:rPr>
          <w:rStyle w:val="a3"/>
          <w:rFonts w:ascii="Times New Roman" w:hAnsi="Times New Roman"/>
          <w:sz w:val="28"/>
          <w:szCs w:val="28"/>
        </w:rPr>
        <w:footnoteReference w:id="27"/>
      </w:r>
      <w:r w:rsidR="00666AA4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 xml:space="preserve">Данная программа нацелена на создание более эффективной НИС в Великобритании,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>занятие лидирующего положения страны в области науки и инноваций и повышение эффективности бюджетных ассигнований.</w:t>
      </w:r>
    </w:p>
    <w:p w:rsidR="00F73AB8" w:rsidRPr="00151465" w:rsidRDefault="00F73AB8" w:rsidP="00AA754C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Существует ряд ключевых документов помимо Инновационной программы 2004-2014, формирующих базу инновационной политики государства. В документе «Реализация британского потенциала: будущие стратегические вызовы для Британии» определены главные направления, которые должны учитываться правительственными департаментами при разработке своих отраслевых стратегий.  В таких документах, как «Обзор бюджетных затрат 2004 г.» и «Комплексный обзор бюджетных</w:t>
      </w:r>
      <w:r w:rsidRPr="001B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затрат на 2007 г.» определены пять проблем, которые, согласно исследованию, будут оказывать воздействие на развитие и состояние экономики и общества.</w:t>
      </w:r>
      <w:r w:rsidRPr="001B3F77">
        <w:rPr>
          <w:rStyle w:val="Footnoteanchor"/>
          <w:rFonts w:ascii="Times New Roman" w:hAnsi="Times New Roman" w:cs="Times New Roman"/>
        </w:rPr>
        <w:footnoteReference w:id="28"/>
      </w:r>
      <w:r w:rsidRPr="001B3F77">
        <w:rPr>
          <w:rFonts w:ascii="Times New Roman" w:hAnsi="Times New Roman" w:cs="Times New Roman"/>
          <w:sz w:val="28"/>
          <w:szCs w:val="28"/>
        </w:rPr>
        <w:t xml:space="preserve"> Среди них глобализация, глобальное изменение климата и экологическая ситуация, изменения в технологическом развитии общества.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В 2008 г. отдел стратегий Кабинета произвел комплексную оценку глобальных вызовов, с которыми может столкнуться страна к 202</w:t>
      </w:r>
      <w:r w:rsidR="00583779" w:rsidRPr="00583779">
        <w:rPr>
          <w:rFonts w:ascii="Times New Roman" w:hAnsi="Times New Roman" w:cs="Times New Roman"/>
          <w:sz w:val="28"/>
          <w:szCs w:val="28"/>
        </w:rPr>
        <w:t>0</w:t>
      </w:r>
      <w:r w:rsidRPr="001B3F77">
        <w:rPr>
          <w:rFonts w:ascii="Times New Roman" w:hAnsi="Times New Roman" w:cs="Times New Roman"/>
          <w:sz w:val="28"/>
          <w:szCs w:val="28"/>
        </w:rPr>
        <w:t xml:space="preserve"> г. Отдел подготовил соответствующий доклад, который дает рекомендации в целях реформирования инновационной политики Великобритании.</w:t>
      </w:r>
      <w:r w:rsidRPr="001B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Исходя из положен</w:t>
      </w:r>
      <w:r w:rsidR="00772A20">
        <w:rPr>
          <w:rFonts w:ascii="Times New Roman" w:hAnsi="Times New Roman" w:cs="Times New Roman"/>
          <w:sz w:val="28"/>
          <w:szCs w:val="28"/>
        </w:rPr>
        <w:t xml:space="preserve">ий этого доклада, департаменты </w:t>
      </w:r>
      <w:r w:rsidRPr="001B3F77">
        <w:rPr>
          <w:rFonts w:ascii="Times New Roman" w:hAnsi="Times New Roman" w:cs="Times New Roman"/>
          <w:sz w:val="28"/>
          <w:szCs w:val="28"/>
        </w:rPr>
        <w:t>при разработке своих научно-технологических и инновационных стратегий должны учитывать такие факторы как современные тенденции глобализации, экономический рост и процветание, условия жизни людей и их мобильность, старение и диверсификация состава населения, общественная безопасность, государственные услуги, изменение климата, обновление конституции и демократических институтов.</w:t>
      </w:r>
      <w:r w:rsidR="00AA754C">
        <w:rPr>
          <w:rStyle w:val="a3"/>
          <w:rFonts w:ascii="Times New Roman" w:hAnsi="Times New Roman"/>
          <w:sz w:val="28"/>
          <w:szCs w:val="28"/>
        </w:rPr>
        <w:footnoteReference w:id="29"/>
      </w:r>
      <w:r w:rsidRPr="001B3F77">
        <w:rPr>
          <w:rFonts w:ascii="Times New Roman" w:hAnsi="Times New Roman" w:cs="Times New Roman"/>
          <w:sz w:val="28"/>
          <w:szCs w:val="28"/>
        </w:rPr>
        <w:t xml:space="preserve"> Естественно, особое значение в области развития инновационной деятельности отдается науке и промышленности.</w:t>
      </w:r>
    </w:p>
    <w:p w:rsidR="003723DF" w:rsidRDefault="00F73AB8" w:rsidP="007563C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власти, не входящим в структуру правительственных департаментов является </w:t>
      </w:r>
      <w:r w:rsidR="00D95864">
        <w:rPr>
          <w:rFonts w:ascii="Times New Roman" w:hAnsi="Times New Roman" w:cs="Times New Roman"/>
          <w:sz w:val="28"/>
          <w:szCs w:val="28"/>
        </w:rPr>
        <w:t>Совет по технологическим стратегиям Великобритании</w:t>
      </w:r>
      <w:r w:rsidRPr="0074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(</w:t>
      </w:r>
      <w:r w:rsidR="000952B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0952BC" w:rsidRPr="000952BC">
        <w:rPr>
          <w:rFonts w:ascii="Times New Roman" w:hAnsi="Times New Roman" w:cs="Times New Roman"/>
          <w:sz w:val="28"/>
          <w:szCs w:val="28"/>
        </w:rPr>
        <w:t xml:space="preserve"> </w:t>
      </w:r>
      <w:r w:rsidR="000952BC">
        <w:rPr>
          <w:rFonts w:ascii="Times New Roman" w:hAnsi="Times New Roman" w:cs="Times New Roman"/>
          <w:sz w:val="28"/>
          <w:szCs w:val="28"/>
          <w:lang w:val="en-US"/>
        </w:rPr>
        <w:t>Strategy</w:t>
      </w:r>
      <w:r w:rsidR="000952BC" w:rsidRPr="000952BC">
        <w:rPr>
          <w:rFonts w:ascii="Times New Roman" w:hAnsi="Times New Roman" w:cs="Times New Roman"/>
          <w:sz w:val="28"/>
          <w:szCs w:val="28"/>
        </w:rPr>
        <w:t xml:space="preserve"> </w:t>
      </w:r>
      <w:r w:rsidR="000952BC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0952BC" w:rsidRPr="000952BC">
        <w:rPr>
          <w:rFonts w:ascii="Times New Roman" w:hAnsi="Times New Roman" w:cs="Times New Roman"/>
          <w:sz w:val="28"/>
          <w:szCs w:val="28"/>
        </w:rPr>
        <w:t xml:space="preserve"> – </w:t>
      </w:r>
      <w:r w:rsidRPr="001B3F77">
        <w:rPr>
          <w:rFonts w:ascii="Times New Roman" w:hAnsi="Times New Roman" w:cs="Times New Roman"/>
          <w:sz w:val="28"/>
          <w:szCs w:val="28"/>
        </w:rPr>
        <w:t>TSB)</w:t>
      </w:r>
      <w:r w:rsidR="008A4FF5">
        <w:rPr>
          <w:rFonts w:ascii="Times New Roman" w:hAnsi="Times New Roman" w:cs="Times New Roman"/>
          <w:sz w:val="28"/>
          <w:szCs w:val="28"/>
        </w:rPr>
        <w:t>, сформированный в 2004 г. Совет осуществляет инвестиции в создание новых технологий, а также поддерживает их развитие.</w:t>
      </w:r>
      <w:r w:rsidRPr="001B3F77">
        <w:rPr>
          <w:rFonts w:ascii="Times New Roman" w:hAnsi="Times New Roman" w:cs="Times New Roman"/>
          <w:sz w:val="28"/>
          <w:szCs w:val="28"/>
        </w:rPr>
        <w:t xml:space="preserve"> Основную поддержку и финансирование его деятельности оказывают DIUS,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 xml:space="preserve">а также научно-исследовательские советы, другие департаменты и региональные органы исполнительной власти. </w:t>
      </w:r>
      <w:r w:rsidR="00294FCC" w:rsidRPr="001B3F77">
        <w:rPr>
          <w:rFonts w:ascii="Times New Roman" w:hAnsi="Times New Roman" w:cs="Times New Roman"/>
          <w:sz w:val="28"/>
        </w:rPr>
        <w:t>Модель, предполагающая</w:t>
      </w:r>
      <w:r w:rsidR="00294FCC" w:rsidRPr="001B3F77">
        <w:rPr>
          <w:rFonts w:ascii="Times New Roman" w:hAnsi="Times New Roman" w:cs="Times New Roman"/>
          <w:sz w:val="32"/>
          <w:szCs w:val="28"/>
        </w:rPr>
        <w:t xml:space="preserve"> </w:t>
      </w:r>
      <w:r w:rsidR="00294FCC" w:rsidRPr="001B3F77">
        <w:rPr>
          <w:rFonts w:ascii="Times New Roman" w:hAnsi="Times New Roman" w:cs="Times New Roman"/>
          <w:sz w:val="28"/>
          <w:szCs w:val="28"/>
        </w:rPr>
        <w:t xml:space="preserve">сотрудничество между </w:t>
      </w:r>
      <w:r w:rsidR="00294FCC">
        <w:rPr>
          <w:rFonts w:ascii="Times New Roman" w:hAnsi="Times New Roman" w:cs="Times New Roman"/>
          <w:sz w:val="28"/>
          <w:szCs w:val="28"/>
        </w:rPr>
        <w:t>организациями и университетами</w:t>
      </w:r>
      <w:r w:rsidR="00294FCC" w:rsidRPr="001B3F77">
        <w:rPr>
          <w:rFonts w:ascii="Times New Roman" w:hAnsi="Times New Roman" w:cs="Times New Roman"/>
          <w:sz w:val="28"/>
          <w:szCs w:val="28"/>
        </w:rPr>
        <w:t>, занимает значимую поз</w:t>
      </w:r>
      <w:r w:rsidR="00294FCC">
        <w:rPr>
          <w:rFonts w:ascii="Times New Roman" w:hAnsi="Times New Roman" w:cs="Times New Roman"/>
          <w:sz w:val="28"/>
          <w:szCs w:val="28"/>
        </w:rPr>
        <w:t xml:space="preserve">ицию в инновационной стратегии </w:t>
      </w:r>
      <w:r w:rsidR="00294FCC" w:rsidRPr="001B3F77">
        <w:rPr>
          <w:rFonts w:ascii="Times New Roman" w:hAnsi="Times New Roman" w:cs="Times New Roman"/>
          <w:sz w:val="28"/>
          <w:szCs w:val="28"/>
        </w:rPr>
        <w:t xml:space="preserve">Великобритании. Совершенствование инновационной системы, создание необходимых механизмов управления инновациями способствует созданию наиболее благоприятных условий для развития научно-инновационной деятельности и стимулирования инвестиций в экономике. </w:t>
      </w:r>
    </w:p>
    <w:p w:rsidR="007563C1" w:rsidRPr="007563C1" w:rsidRDefault="007563C1" w:rsidP="007563C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AB8" w:rsidRPr="00413FF7" w:rsidRDefault="00F73AB8" w:rsidP="00F73AB8">
      <w:pPr>
        <w:pStyle w:val="a7"/>
        <w:numPr>
          <w:ilvl w:val="1"/>
          <w:numId w:val="10"/>
        </w:numPr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13FF7">
        <w:rPr>
          <w:rFonts w:ascii="Times New Roman" w:hAnsi="Times New Roman" w:cs="Times New Roman"/>
          <w:sz w:val="28"/>
          <w:szCs w:val="28"/>
        </w:rPr>
        <w:t>Частно-государственное партнерство в сфере инноваций</w:t>
      </w:r>
    </w:p>
    <w:p w:rsidR="00F51652" w:rsidRPr="007A66B7" w:rsidRDefault="00F51652" w:rsidP="00F51652">
      <w:pPr>
        <w:pStyle w:val="a7"/>
        <w:spacing w:after="240" w:line="360" w:lineRule="auto"/>
        <w:ind w:left="0"/>
        <w:rPr>
          <w:rFonts w:ascii="Times New Roman" w:hAnsi="Times New Roman" w:cs="Times New Roman"/>
        </w:rPr>
      </w:pPr>
    </w:p>
    <w:p w:rsidR="00F73AB8" w:rsidRPr="00C110A1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>В некоторых секторах правительство может играть значительную роль, оказывая поддержку с применением методов государственного регулирования, осуществляя закупки и оказывая услуги для создания рынка инновационных решений различных проблем. Необходимым условием действующей</w:t>
      </w:r>
      <w:r w:rsidR="00C110A1">
        <w:rPr>
          <w:rFonts w:ascii="Times New Roman" w:hAnsi="Times New Roman" w:cs="Times New Roman"/>
          <w:sz w:val="28"/>
          <w:szCs w:val="28"/>
        </w:rPr>
        <w:t xml:space="preserve"> английской</w:t>
      </w:r>
      <w:r w:rsidRPr="001B3F77">
        <w:rPr>
          <w:rFonts w:ascii="Times New Roman" w:hAnsi="Times New Roman" w:cs="Times New Roman"/>
          <w:sz w:val="28"/>
          <w:szCs w:val="28"/>
        </w:rPr>
        <w:t xml:space="preserve"> инновационной политики является создание благоприятных условий правительством для сотрудничества между коммерческими и исследовательскими организациями, поощряя инвестиции в сферу инноваций. </w:t>
      </w:r>
    </w:p>
    <w:p w:rsidR="00413FF7" w:rsidRPr="001B3F77" w:rsidRDefault="00413FF7" w:rsidP="00413FF7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В рамках TSB в целях стимулирования инновационной деятельности были приняты следующие направления развития государственно-частного партнерства.</w:t>
      </w:r>
    </w:p>
    <w:p w:rsidR="00413FF7" w:rsidRPr="001B3F77" w:rsidRDefault="00413FF7" w:rsidP="00413FF7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1) в сфере разработка ключевых технологий:</w:t>
      </w:r>
    </w:p>
    <w:p w:rsidR="00413FF7" w:rsidRPr="001B3F77" w:rsidRDefault="00413FF7" w:rsidP="00413F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технологические процессы с высокой добавленной стоимостью в обрабатывающей промышленности;</w:t>
      </w:r>
    </w:p>
    <w:p w:rsidR="00413FF7" w:rsidRPr="001B3F77" w:rsidRDefault="00413FF7" w:rsidP="00413F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новейшие материалы;</w:t>
      </w:r>
    </w:p>
    <w:p w:rsidR="00413FF7" w:rsidRPr="001B3F77" w:rsidRDefault="00413FF7" w:rsidP="00413F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нанотехнологии;</w:t>
      </w:r>
    </w:p>
    <w:p w:rsidR="00413FF7" w:rsidRPr="001B3F77" w:rsidRDefault="00413FF7" w:rsidP="00413F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биотехнологии;</w:t>
      </w:r>
    </w:p>
    <w:p w:rsidR="00413FF7" w:rsidRPr="001B3F77" w:rsidRDefault="00413FF7" w:rsidP="00413F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электроника, фотоника и электрические системы;</w:t>
      </w:r>
    </w:p>
    <w:p w:rsidR="00413FF7" w:rsidRPr="001B3F77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413FF7" w:rsidRPr="001B3F77" w:rsidRDefault="00413FF7" w:rsidP="00413FF7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2) в области использования ключевых технологий:</w:t>
      </w:r>
    </w:p>
    <w:p w:rsidR="00413FF7" w:rsidRPr="001B3F77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устойчивость экологических систем;</w:t>
      </w:r>
    </w:p>
    <w:p w:rsidR="00413FF7" w:rsidRPr="001B3F77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генерирующие и передающие энергосистемы;</w:t>
      </w:r>
    </w:p>
    <w:p w:rsidR="00413FF7" w:rsidRPr="001B3F77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lastRenderedPageBreak/>
        <w:t>медицина и здравоохранение;</w:t>
      </w:r>
    </w:p>
    <w:p w:rsidR="00413FF7" w:rsidRPr="001B3F77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транспорт;</w:t>
      </w:r>
    </w:p>
    <w:p w:rsidR="00413FF7" w:rsidRPr="001B3F77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креативные отрасли;</w:t>
      </w:r>
    </w:p>
    <w:p w:rsidR="00413FF7" w:rsidRPr="001B3F77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услуги высокой стоимости;</w:t>
      </w:r>
    </w:p>
    <w:p w:rsidR="00413FF7" w:rsidRPr="00066AA4" w:rsidRDefault="00413FF7" w:rsidP="00413FF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A4">
        <w:rPr>
          <w:rFonts w:ascii="Times New Roman" w:hAnsi="Times New Roman" w:cs="Times New Roman"/>
          <w:sz w:val="28"/>
          <w:szCs w:val="28"/>
        </w:rPr>
        <w:t>искусственная среда;</w:t>
      </w:r>
    </w:p>
    <w:p w:rsidR="00413FF7" w:rsidRPr="00066AA4" w:rsidRDefault="00413FF7" w:rsidP="00413FF7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AA4">
        <w:rPr>
          <w:rFonts w:ascii="Times New Roman" w:hAnsi="Times New Roman" w:cs="Times New Roman"/>
          <w:sz w:val="28"/>
          <w:szCs w:val="28"/>
        </w:rPr>
        <w:t xml:space="preserve">3) перспективные новые технологии и отрасли промышленности. TSB готовит стратегию по разработке этих технологий и их коммерциализации на </w:t>
      </w:r>
      <w:r>
        <w:rPr>
          <w:rFonts w:ascii="Times New Roman" w:hAnsi="Times New Roman" w:cs="Times New Roman"/>
          <w:sz w:val="28"/>
          <w:szCs w:val="28"/>
        </w:rPr>
        <w:t>стадии оказания поддержки старт</w:t>
      </w:r>
      <w:r w:rsidRPr="00066AA4">
        <w:rPr>
          <w:rFonts w:ascii="Times New Roman" w:hAnsi="Times New Roman" w:cs="Times New Roman"/>
          <w:sz w:val="28"/>
          <w:szCs w:val="28"/>
        </w:rPr>
        <w:t>апам;</w:t>
      </w:r>
    </w:p>
    <w:p w:rsidR="00413FF7" w:rsidRPr="00066AA4" w:rsidRDefault="00413FF7" w:rsidP="00413FF7">
      <w:pPr>
        <w:spacing w:after="12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AA4">
        <w:rPr>
          <w:rFonts w:ascii="Times New Roman" w:hAnsi="Times New Roman" w:cs="Times New Roman"/>
          <w:sz w:val="28"/>
          <w:szCs w:val="28"/>
        </w:rPr>
        <w:t xml:space="preserve">4) инновационные платформы. </w:t>
      </w:r>
      <w:r w:rsidR="006911A1">
        <w:rPr>
          <w:rStyle w:val="a3"/>
          <w:rFonts w:ascii="Times New Roman" w:hAnsi="Times New Roman"/>
          <w:sz w:val="28"/>
          <w:szCs w:val="28"/>
        </w:rPr>
        <w:footnoteReference w:id="30"/>
      </w:r>
    </w:p>
    <w:p w:rsidR="00482E09" w:rsidRPr="00482E09" w:rsidRDefault="00413FF7" w:rsidP="00482E09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Британским правительством также признается важность поощрения,  как международного сотрудничества в ИР, так и совместной деятельности по устранению неэкономических барьеров на пути развития инновационного бизнеса, в частности,  ТИК. </w:t>
      </w:r>
    </w:p>
    <w:p w:rsidR="00F73AB8" w:rsidRPr="00482E09" w:rsidRDefault="00F73AB8" w:rsidP="00482E09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lang w:val="en-US"/>
        </w:rPr>
      </w:pPr>
      <w:r w:rsidRPr="00413FF7">
        <w:rPr>
          <w:rFonts w:ascii="Times New Roman" w:hAnsi="Times New Roman" w:cs="Times New Roman"/>
          <w:sz w:val="28"/>
          <w:szCs w:val="28"/>
        </w:rPr>
        <w:t>Особенность инновационной политики Великобритании заключается в проведении инноваций в государственном секторе. Среди таких инновационных программ можно выделить следующие:</w:t>
      </w:r>
    </w:p>
    <w:p w:rsidR="00F73AB8" w:rsidRPr="001B3F77" w:rsidRDefault="00F73AB8" w:rsidP="00F73AB8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1B3F77">
        <w:rPr>
          <w:rFonts w:ascii="Times New Roman" w:hAnsi="Times New Roman" w:cs="Times New Roman"/>
          <w:sz w:val="28"/>
          <w:szCs w:val="28"/>
        </w:rPr>
        <w:t xml:space="preserve"> (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NHS</w:t>
      </w:r>
      <w:r w:rsidRPr="001B3F77">
        <w:rPr>
          <w:rFonts w:ascii="Times New Roman" w:hAnsi="Times New Roman" w:cs="Times New Roman"/>
          <w:sz w:val="28"/>
          <w:szCs w:val="28"/>
        </w:rPr>
        <w:t xml:space="preserve">)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NHSDirect</w:t>
      </w:r>
      <w:r w:rsidRPr="001B3F77">
        <w:rPr>
          <w:rFonts w:ascii="Times New Roman" w:hAnsi="Times New Roman" w:cs="Times New Roman"/>
          <w:sz w:val="28"/>
          <w:szCs w:val="28"/>
        </w:rPr>
        <w:t xml:space="preserve"> – консультационная телефонная информационная программа Государственной медицинской службы Великобритании;</w:t>
      </w:r>
    </w:p>
    <w:p w:rsidR="00F73AB8" w:rsidRPr="001B3F77" w:rsidRDefault="00F73AB8" w:rsidP="00F73AB8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  <w:lang w:val="en-US"/>
        </w:rPr>
        <w:t>Companies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482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lectronic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482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ncorporation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482E09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heme</w:t>
      </w:r>
      <w:r w:rsidRPr="001B3F77">
        <w:rPr>
          <w:rFonts w:ascii="Times New Roman" w:hAnsi="Times New Roman" w:cs="Times New Roman"/>
          <w:sz w:val="28"/>
          <w:szCs w:val="28"/>
        </w:rPr>
        <w:t xml:space="preserve"> – служба </w:t>
      </w:r>
      <w:r w:rsidR="00B30BFB" w:rsidRPr="001B3F77">
        <w:rPr>
          <w:rFonts w:ascii="Times New Roman" w:hAnsi="Times New Roman" w:cs="Times New Roman"/>
          <w:sz w:val="28"/>
          <w:szCs w:val="28"/>
        </w:rPr>
        <w:t>онлайн</w:t>
      </w:r>
      <w:r w:rsidRPr="001B3F77">
        <w:rPr>
          <w:rFonts w:ascii="Times New Roman" w:hAnsi="Times New Roman" w:cs="Times New Roman"/>
          <w:sz w:val="28"/>
          <w:szCs w:val="28"/>
        </w:rPr>
        <w:t xml:space="preserve"> регистрации новых компании, аннулирования уже существующих;</w:t>
      </w:r>
    </w:p>
    <w:p w:rsidR="00F73AB8" w:rsidRPr="001B3F77" w:rsidRDefault="00F73AB8" w:rsidP="00F73AB8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  <w:lang w:val="en-US"/>
        </w:rPr>
        <w:t>HM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Registry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482E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F77">
        <w:rPr>
          <w:rFonts w:ascii="Times New Roman" w:hAnsi="Times New Roman" w:cs="Times New Roman"/>
          <w:sz w:val="28"/>
          <w:szCs w:val="28"/>
        </w:rPr>
        <w:t>-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conveyancing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482E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rogramme</w:t>
      </w:r>
      <w:r w:rsidRPr="001B3F77">
        <w:rPr>
          <w:rFonts w:ascii="Times New Roman" w:hAnsi="Times New Roman" w:cs="Times New Roman"/>
          <w:sz w:val="28"/>
          <w:szCs w:val="28"/>
        </w:rPr>
        <w:t xml:space="preserve"> – служба </w:t>
      </w:r>
      <w:r w:rsidR="00B30BFB" w:rsidRPr="001B3F77">
        <w:rPr>
          <w:rFonts w:ascii="Times New Roman" w:hAnsi="Times New Roman" w:cs="Times New Roman"/>
          <w:sz w:val="28"/>
          <w:szCs w:val="28"/>
        </w:rPr>
        <w:t>онлайн</w:t>
      </w:r>
      <w:r w:rsidRPr="001B3F77">
        <w:rPr>
          <w:rFonts w:ascii="Times New Roman" w:hAnsi="Times New Roman" w:cs="Times New Roman"/>
          <w:sz w:val="28"/>
          <w:szCs w:val="28"/>
        </w:rPr>
        <w:t xml:space="preserve"> оставления актов  о передаче собственности на землю и т.д.</w:t>
      </w:r>
      <w:r w:rsidRPr="001B3F77">
        <w:rPr>
          <w:rStyle w:val="Footnoteanchor"/>
          <w:rFonts w:ascii="Times New Roman" w:hAnsi="Times New Roman" w:cs="Times New Roman"/>
        </w:rPr>
        <w:footnoteReference w:id="31"/>
      </w:r>
    </w:p>
    <w:p w:rsidR="00F73AB8" w:rsidRPr="001B3F77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Инновационный подход Британии к организации услуг государственного сектора выразился в программе создания «электронного правительства». Это </w:t>
      </w:r>
      <w:r w:rsidR="008339D7">
        <w:rPr>
          <w:rFonts w:ascii="Times New Roman" w:hAnsi="Times New Roman" w:cs="Times New Roman"/>
          <w:sz w:val="28"/>
          <w:szCs w:val="28"/>
        </w:rPr>
        <w:t>предполагает оказание широкого спектра</w:t>
      </w:r>
      <w:r w:rsidRPr="001B3F77">
        <w:rPr>
          <w:rFonts w:ascii="Times New Roman" w:hAnsi="Times New Roman" w:cs="Times New Roman"/>
          <w:sz w:val="28"/>
          <w:szCs w:val="28"/>
        </w:rPr>
        <w:t xml:space="preserve"> государственных услуг через интернет. Однако электронное правительство в Соединенном Королевстве стало популярным </w:t>
      </w:r>
      <w:r w:rsidR="00661FDC">
        <w:rPr>
          <w:rFonts w:ascii="Times New Roman" w:hAnsi="Times New Roman" w:cs="Times New Roman"/>
          <w:sz w:val="28"/>
          <w:szCs w:val="28"/>
        </w:rPr>
        <w:t xml:space="preserve">не </w:t>
      </w:r>
      <w:r w:rsidR="00661FDC">
        <w:rPr>
          <w:rFonts w:ascii="Times New Roman" w:hAnsi="Times New Roman" w:cs="Times New Roman"/>
          <w:sz w:val="28"/>
          <w:szCs w:val="28"/>
        </w:rPr>
        <w:lastRenderedPageBreak/>
        <w:t>сразу, а лишь с третьей попытки</w:t>
      </w:r>
      <w:r w:rsidRPr="001B3F77">
        <w:rPr>
          <w:rFonts w:ascii="Times New Roman" w:hAnsi="Times New Roman" w:cs="Times New Roman"/>
          <w:sz w:val="28"/>
          <w:szCs w:val="28"/>
        </w:rPr>
        <w:t xml:space="preserve">. </w:t>
      </w:r>
      <w:r w:rsidR="004466D3">
        <w:rPr>
          <w:rFonts w:ascii="Times New Roman" w:hAnsi="Times New Roman" w:cs="Times New Roman"/>
          <w:sz w:val="28"/>
          <w:szCs w:val="28"/>
        </w:rPr>
        <w:t>Сегодня система</w:t>
      </w:r>
      <w:r w:rsidRPr="001B3F77">
        <w:rPr>
          <w:rFonts w:ascii="Times New Roman" w:hAnsi="Times New Roman" w:cs="Times New Roman"/>
          <w:sz w:val="28"/>
          <w:szCs w:val="28"/>
        </w:rPr>
        <w:t xml:space="preserve"> получает все </w:t>
      </w:r>
      <w:r w:rsidR="00DB3405">
        <w:rPr>
          <w:rFonts w:ascii="Times New Roman" w:hAnsi="Times New Roman" w:cs="Times New Roman"/>
          <w:sz w:val="28"/>
          <w:szCs w:val="28"/>
        </w:rPr>
        <w:t>возрастающую</w:t>
      </w:r>
      <w:r w:rsidRPr="001B3F77">
        <w:rPr>
          <w:rFonts w:ascii="Times New Roman" w:hAnsi="Times New Roman" w:cs="Times New Roman"/>
          <w:sz w:val="28"/>
          <w:szCs w:val="28"/>
        </w:rPr>
        <w:t xml:space="preserve"> популярность и число </w:t>
      </w:r>
      <w:r w:rsidR="00A9204F">
        <w:rPr>
          <w:rFonts w:ascii="Times New Roman" w:hAnsi="Times New Roman" w:cs="Times New Roman"/>
          <w:sz w:val="28"/>
          <w:szCs w:val="28"/>
        </w:rPr>
        <w:t>подобного рода</w:t>
      </w:r>
      <w:r w:rsidRPr="001B3F77">
        <w:rPr>
          <w:rFonts w:ascii="Times New Roman" w:hAnsi="Times New Roman" w:cs="Times New Roman"/>
          <w:sz w:val="28"/>
          <w:szCs w:val="28"/>
        </w:rPr>
        <w:t xml:space="preserve"> услуг все продолжает </w:t>
      </w:r>
      <w:r w:rsidR="00611B4C">
        <w:rPr>
          <w:rFonts w:ascii="Times New Roman" w:hAnsi="Times New Roman" w:cs="Times New Roman"/>
          <w:sz w:val="28"/>
          <w:szCs w:val="28"/>
        </w:rPr>
        <w:t>увеличиваться</w:t>
      </w:r>
      <w:r w:rsidRPr="001B3F77">
        <w:rPr>
          <w:rFonts w:ascii="Times New Roman" w:hAnsi="Times New Roman" w:cs="Times New Roman"/>
          <w:sz w:val="28"/>
          <w:szCs w:val="28"/>
        </w:rPr>
        <w:t>. Правительство</w:t>
      </w:r>
      <w:r w:rsidR="00DC2B5C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B3F77">
        <w:rPr>
          <w:rFonts w:ascii="Times New Roman" w:hAnsi="Times New Roman" w:cs="Times New Roman"/>
          <w:sz w:val="28"/>
          <w:szCs w:val="28"/>
        </w:rPr>
        <w:t xml:space="preserve"> проводило целенаправленную политику в области пов</w:t>
      </w:r>
      <w:r w:rsidR="004831CE">
        <w:rPr>
          <w:rFonts w:ascii="Times New Roman" w:hAnsi="Times New Roman" w:cs="Times New Roman"/>
          <w:sz w:val="28"/>
          <w:szCs w:val="28"/>
        </w:rPr>
        <w:t xml:space="preserve">ышения компьютерной грамотности, </w:t>
      </w:r>
      <w:r w:rsidRPr="001B3F77">
        <w:rPr>
          <w:rFonts w:ascii="Times New Roman" w:hAnsi="Times New Roman" w:cs="Times New Roman"/>
          <w:sz w:val="28"/>
          <w:szCs w:val="28"/>
        </w:rPr>
        <w:t xml:space="preserve">путем создания центров обучения и улучшения условий для повышения квалификаций персонала в области информационных технологий. </w:t>
      </w:r>
    </w:p>
    <w:p w:rsidR="00F73AB8" w:rsidRPr="001B3F77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В начале 2012 г. в Великобритании был запущен правительственный портал, предлагающий государственные услуги –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GOV</w:t>
      </w:r>
      <w:r w:rsidRPr="001B3F77">
        <w:rPr>
          <w:rFonts w:ascii="Times New Roman" w:hAnsi="Times New Roman" w:cs="Times New Roman"/>
          <w:sz w:val="28"/>
          <w:szCs w:val="28"/>
        </w:rPr>
        <w:t>.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UK</w:t>
      </w:r>
      <w:r w:rsidRPr="001B3F77">
        <w:rPr>
          <w:rFonts w:ascii="Times New Roman" w:hAnsi="Times New Roman" w:cs="Times New Roman"/>
          <w:sz w:val="28"/>
          <w:szCs w:val="28"/>
        </w:rPr>
        <w:t xml:space="preserve">, который заменил устаревший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DirectGov</w:t>
      </w:r>
      <w:r w:rsidRPr="001B3F77">
        <w:rPr>
          <w:rFonts w:ascii="Times New Roman" w:hAnsi="Times New Roman" w:cs="Times New Roman"/>
          <w:sz w:val="28"/>
          <w:szCs w:val="28"/>
        </w:rPr>
        <w:t>. По оценкам экспертов,</w:t>
      </w:r>
      <w:r w:rsidR="006911A1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1B3F77">
        <w:rPr>
          <w:rFonts w:ascii="Times New Roman" w:hAnsi="Times New Roman" w:cs="Times New Roman"/>
          <w:sz w:val="28"/>
          <w:szCs w:val="28"/>
        </w:rPr>
        <w:t xml:space="preserve"> при каждом обращении граждан к услугам, предлагаемым электронным правительством,</w:t>
      </w:r>
      <w:r w:rsidR="006911A1">
        <w:rPr>
          <w:rFonts w:ascii="Times New Roman" w:hAnsi="Times New Roman" w:cs="Times New Roman"/>
          <w:sz w:val="28"/>
          <w:szCs w:val="28"/>
        </w:rPr>
        <w:t xml:space="preserve">  экономия</w:t>
      </w:r>
      <w:r w:rsidRPr="001B3F77">
        <w:rPr>
          <w:rFonts w:ascii="Times New Roman" w:hAnsi="Times New Roman" w:cs="Times New Roman"/>
          <w:sz w:val="28"/>
          <w:szCs w:val="28"/>
        </w:rPr>
        <w:t xml:space="preserve"> в среднем составил</w:t>
      </w:r>
      <w:r w:rsidR="006911A1">
        <w:rPr>
          <w:rFonts w:ascii="Times New Roman" w:hAnsi="Times New Roman" w:cs="Times New Roman"/>
          <w:sz w:val="28"/>
          <w:szCs w:val="28"/>
        </w:rPr>
        <w:t>а</w:t>
      </w:r>
      <w:r w:rsidRPr="001B3F77">
        <w:rPr>
          <w:rFonts w:ascii="Times New Roman" w:hAnsi="Times New Roman" w:cs="Times New Roman"/>
          <w:sz w:val="28"/>
          <w:szCs w:val="28"/>
        </w:rPr>
        <w:t xml:space="preserve"> не менее £8, учитывая, что число обращений в период с 2009 по 2010 г. увеличилось с 11 до 27 млн. в месяц, удобство и выгода очевидны. Все больше людей отдает предпочтение электронному правительству. Общее количество электронных государственных услуг, оказываемых в Британии к началу 2010 г. равнялось около 171. Это позволяет сокращать штат чиновников и экономить на аренде офисов и переписке. В целом, на развитие электронного правительства было выделено £90 млн. на три года с учетом того, что к концу периода экономия составила около £400 млн. в год.</w:t>
      </w:r>
      <w:r w:rsidRPr="009B6811">
        <w:rPr>
          <w:rStyle w:val="Footnoteanchor"/>
          <w:rFonts w:ascii="Times New Roman" w:hAnsi="Times New Roman" w:cs="Times New Roman"/>
          <w:sz w:val="28"/>
        </w:rPr>
        <w:footnoteReference w:id="32"/>
      </w:r>
    </w:p>
    <w:p w:rsidR="00BF28DF" w:rsidRPr="001B3F77" w:rsidRDefault="00BF28DF" w:rsidP="00BF28DF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Особенно выделяется также сотрудничество между технологической компанией Эйкона (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Eykona</w:t>
      </w:r>
      <w:r w:rsidRPr="001B3F77">
        <w:rPr>
          <w:rFonts w:ascii="Times New Roman" w:hAnsi="Times New Roman" w:cs="Times New Roman"/>
          <w:sz w:val="28"/>
          <w:szCs w:val="28"/>
        </w:rPr>
        <w:t>) и Государственной медицинской службой (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NHS</w:t>
      </w:r>
      <w:r w:rsidRPr="001B3F77">
        <w:rPr>
          <w:rFonts w:ascii="Times New Roman" w:hAnsi="Times New Roman" w:cs="Times New Roman"/>
          <w:sz w:val="28"/>
          <w:szCs w:val="28"/>
        </w:rPr>
        <w:t>), заключающееся в предоставлении компанией 3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3F77">
        <w:rPr>
          <w:rFonts w:ascii="Times New Roman" w:hAnsi="Times New Roman" w:cs="Times New Roman"/>
          <w:sz w:val="28"/>
          <w:szCs w:val="28"/>
        </w:rPr>
        <w:t xml:space="preserve"> технологий, которые замещают традиционные методы с использованием обычных камер. Контракт между сторонами сыграл ключевую роль в сотрудничестве и способствовал коммерциализации технологии. Сегодня Эйкона числится среди основных поставщиков ГМС, технологии обходятся службе ежегодно в 3 млрд. фунтов. Таким образом, совместная деятельность предприятий и специалистов в сфере технологии способствует разработке новых продуктов, т.е. эффективной инновационной деятельности. Достигнув заметного успеха в этой области,  британское правительство намеревается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>расширить Программу поддержки малых и средних предприятий и к 2014-2015 гг. повысить эту цифру до 200 млн. фунтов.</w:t>
      </w:r>
    </w:p>
    <w:p w:rsidR="00CA0728" w:rsidRPr="002F4FEC" w:rsidRDefault="00BF28DF" w:rsidP="002F4FEC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В октябре 2011 г. глава правительства, Дэвид Кэмерон, объявил о планах создания центров технологических инноваций, что является одним из ключевых этапов инновационной стратегии. Среди инициатив правительства стоит </w:t>
      </w:r>
      <w:r w:rsidR="002F4FEC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1B3F77">
        <w:rPr>
          <w:rFonts w:ascii="Times New Roman" w:hAnsi="Times New Roman" w:cs="Times New Roman"/>
          <w:sz w:val="28"/>
          <w:szCs w:val="28"/>
        </w:rPr>
        <w:t xml:space="preserve">план о выделении инвестиции </w:t>
      </w:r>
      <w:r w:rsidR="00890814">
        <w:rPr>
          <w:rFonts w:ascii="Times New Roman" w:hAnsi="Times New Roman" w:cs="Times New Roman"/>
          <w:sz w:val="28"/>
          <w:szCs w:val="28"/>
        </w:rPr>
        <w:t>Управлением Т</w:t>
      </w:r>
      <w:r w:rsidR="002F4FEC">
        <w:rPr>
          <w:rFonts w:ascii="Times New Roman" w:hAnsi="Times New Roman" w:cs="Times New Roman"/>
          <w:sz w:val="28"/>
          <w:szCs w:val="28"/>
        </w:rPr>
        <w:t>ехноло</w:t>
      </w:r>
      <w:r w:rsidR="00890814">
        <w:rPr>
          <w:rFonts w:ascii="Times New Roman" w:hAnsi="Times New Roman" w:cs="Times New Roman"/>
          <w:sz w:val="28"/>
          <w:szCs w:val="28"/>
        </w:rPr>
        <w:t>гической С</w:t>
      </w:r>
      <w:r w:rsidR="002F4FEC">
        <w:rPr>
          <w:rFonts w:ascii="Times New Roman" w:hAnsi="Times New Roman" w:cs="Times New Roman"/>
          <w:sz w:val="28"/>
          <w:szCs w:val="28"/>
        </w:rPr>
        <w:t>тратегии</w:t>
      </w:r>
      <w:r w:rsidRPr="002F4FEC">
        <w:rPr>
          <w:rFonts w:ascii="Times New Roman" w:hAnsi="Times New Roman" w:cs="Times New Roman"/>
          <w:sz w:val="28"/>
          <w:szCs w:val="28"/>
        </w:rPr>
        <w:t xml:space="preserve"> в течение 2012-201</w:t>
      </w:r>
      <w:r w:rsidR="00F01934" w:rsidRPr="002F4FEC">
        <w:rPr>
          <w:rFonts w:ascii="Times New Roman" w:hAnsi="Times New Roman" w:cs="Times New Roman"/>
          <w:sz w:val="28"/>
          <w:szCs w:val="28"/>
        </w:rPr>
        <w:t>5 гг. в размере 200 млн. фунтов на</w:t>
      </w:r>
      <w:r w:rsidRPr="002F4FEC">
        <w:rPr>
          <w:rFonts w:ascii="Times New Roman" w:hAnsi="Times New Roman" w:cs="Times New Roman"/>
          <w:sz w:val="28"/>
          <w:szCs w:val="28"/>
        </w:rPr>
        <w:t xml:space="preserve"> производство в попытке стимулировать бизнес активность в стране, а также учреждение первого Государственного центра управления Технологиями и Инновациями (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2F4FEC">
        <w:rPr>
          <w:rFonts w:ascii="Times New Roman" w:hAnsi="Times New Roman" w:cs="Times New Roman"/>
          <w:sz w:val="28"/>
          <w:szCs w:val="28"/>
        </w:rPr>
        <w:t>’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2F4FEC">
        <w:rPr>
          <w:rFonts w:ascii="Times New Roman" w:hAnsi="Times New Roman" w:cs="Times New Roman"/>
          <w:sz w:val="28"/>
          <w:szCs w:val="28"/>
        </w:rPr>
        <w:t xml:space="preserve">) из шести планируемых </w:t>
      </w:r>
      <w:r w:rsidR="00F01934" w:rsidRPr="002F4FEC">
        <w:rPr>
          <w:rFonts w:ascii="Times New Roman" w:hAnsi="Times New Roman" w:cs="Times New Roman"/>
          <w:sz w:val="28"/>
          <w:szCs w:val="28"/>
        </w:rPr>
        <w:t xml:space="preserve">инновационных центров </w:t>
      </w:r>
      <w:r w:rsidRPr="002F4FEC">
        <w:rPr>
          <w:rFonts w:ascii="Times New Roman" w:hAnsi="Times New Roman" w:cs="Times New Roman"/>
          <w:sz w:val="28"/>
          <w:szCs w:val="28"/>
        </w:rPr>
        <w:t>(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Catapult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Centres</w:t>
      </w:r>
      <w:r w:rsidRPr="002F4FEC">
        <w:rPr>
          <w:rFonts w:ascii="Times New Roman" w:hAnsi="Times New Roman" w:cs="Times New Roman"/>
          <w:sz w:val="28"/>
          <w:szCs w:val="28"/>
        </w:rPr>
        <w:t>).</w:t>
      </w:r>
      <w:r w:rsidRPr="001B3F77">
        <w:rPr>
          <w:rStyle w:val="Footnoteanchor"/>
          <w:rFonts w:ascii="Times New Roman" w:hAnsi="Times New Roman" w:cs="Times New Roman"/>
        </w:rPr>
        <w:footnoteReference w:id="33"/>
      </w:r>
      <w:r w:rsidRPr="002F4FEC">
        <w:rPr>
          <w:rFonts w:ascii="Times New Roman" w:hAnsi="Times New Roman" w:cs="Times New Roman"/>
          <w:sz w:val="28"/>
          <w:szCs w:val="28"/>
        </w:rPr>
        <w:t xml:space="preserve"> Данный центр призван объединить такие передовые учреждения, как Исследовательский центр перспективных разработок (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Manufacturing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2F4FEC">
        <w:rPr>
          <w:rFonts w:ascii="Times New Roman" w:hAnsi="Times New Roman" w:cs="Times New Roman"/>
          <w:sz w:val="28"/>
          <w:szCs w:val="28"/>
        </w:rPr>
        <w:t>) и Центр производственной технологии (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Manufacturing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  <w:r w:rsidRPr="002F4FEC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2F4FEC">
        <w:rPr>
          <w:rFonts w:ascii="Times New Roman" w:hAnsi="Times New Roman" w:cs="Times New Roman"/>
          <w:sz w:val="28"/>
          <w:szCs w:val="28"/>
        </w:rPr>
        <w:t>) в целях поддержания британского производства в различных отраслях, в частности, фармацевтической и биотехнологической.  Открытие центра планировалось совершить до апреля 2013 г.</w:t>
      </w:r>
      <w:r w:rsidRPr="001B3F77">
        <w:rPr>
          <w:rStyle w:val="Footnoteanchor"/>
          <w:rFonts w:ascii="Times New Roman" w:hAnsi="Times New Roman" w:cs="Times New Roman"/>
        </w:rPr>
        <w:footnoteReference w:id="34"/>
      </w:r>
      <w:r w:rsidRPr="002F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DF" w:rsidRPr="007A66B7" w:rsidRDefault="00BF28DF" w:rsidP="00CA072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7A66B7">
        <w:rPr>
          <w:rFonts w:ascii="Times New Roman" w:hAnsi="Times New Roman" w:cs="Times New Roman"/>
          <w:b/>
        </w:rPr>
        <w:t>Таблица 4. Инновационная политика Великобритании – ключевые действия и сроки.</w:t>
      </w:r>
      <w:r w:rsidRPr="007A66B7">
        <w:rPr>
          <w:rStyle w:val="Footnoteanchor"/>
          <w:rFonts w:ascii="Times New Roman" w:hAnsi="Times New Roman" w:cs="Times New Roman"/>
        </w:rPr>
        <w:footnoteReference w:id="35"/>
      </w:r>
    </w:p>
    <w:tbl>
      <w:tblPr>
        <w:tblW w:w="10267" w:type="dxa"/>
        <w:tblInd w:w="-108" w:type="dxa"/>
        <w:tbl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</w:tblBorders>
        <w:tblCellMar>
          <w:left w:w="10" w:type="dxa"/>
          <w:right w:w="10" w:type="dxa"/>
        </w:tblCellMar>
        <w:tblLook w:val="0000"/>
      </w:tblPr>
      <w:tblGrid>
        <w:gridCol w:w="3335"/>
        <w:gridCol w:w="3118"/>
        <w:gridCol w:w="3814"/>
      </w:tblGrid>
      <w:tr w:rsidR="00BF28DF" w:rsidRPr="003723DF" w:rsidTr="003723DF">
        <w:trPr>
          <w:trHeight w:val="499"/>
        </w:trPr>
        <w:tc>
          <w:tcPr>
            <w:tcW w:w="33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DD33AF">
            <w:pPr>
              <w:pStyle w:val="a7"/>
              <w:spacing w:after="0"/>
              <w:ind w:left="-3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bCs/>
              </w:rPr>
              <w:t>Цели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DD33AF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bCs/>
              </w:rPr>
              <w:t>Ключевые организации</w:t>
            </w:r>
          </w:p>
        </w:tc>
        <w:tc>
          <w:tcPr>
            <w:tcW w:w="3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DD33AF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bCs/>
              </w:rPr>
              <w:t>Период реализации</w:t>
            </w:r>
          </w:p>
        </w:tc>
      </w:tr>
      <w:tr w:rsidR="00BF28DF" w:rsidRPr="003723DF" w:rsidTr="003723DF">
        <w:trPr>
          <w:trHeight w:val="216"/>
        </w:trPr>
        <w:tc>
          <w:tcPr>
            <w:tcW w:w="10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7E0640">
            <w:pPr>
              <w:pStyle w:val="a7"/>
              <w:spacing w:after="0"/>
              <w:ind w:left="-3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bCs/>
              </w:rPr>
              <w:t>Исследования и разработки (ИР)</w:t>
            </w:r>
          </w:p>
        </w:tc>
      </w:tr>
      <w:tr w:rsidR="00BF28DF" w:rsidRPr="003723DF" w:rsidTr="003723DF">
        <w:trPr>
          <w:trHeight w:val="1881"/>
        </w:trPr>
        <w:tc>
          <w:tcPr>
            <w:tcW w:w="3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7E0640">
            <w:pPr>
              <w:pStyle w:val="a7"/>
              <w:spacing w:after="0"/>
              <w:ind w:left="-3"/>
              <w:jc w:val="both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bCs/>
              </w:rPr>
              <w:t>Инвестиции в размере 200 млн. фунтов в период 2011-2015 гг. на создание</w:t>
            </w:r>
            <w:r w:rsidR="003723DF">
              <w:rPr>
                <w:rFonts w:ascii="Times New Roman" w:hAnsi="Times New Roman" w:cs="Times New Roman"/>
                <w:bCs/>
              </w:rPr>
              <w:t xml:space="preserve"> технико-</w:t>
            </w:r>
            <w:r w:rsidRPr="003723DF">
              <w:rPr>
                <w:rFonts w:ascii="Times New Roman" w:hAnsi="Times New Roman" w:cs="Times New Roman"/>
                <w:bCs/>
              </w:rPr>
              <w:t xml:space="preserve"> инновационных центров (</w:t>
            </w:r>
            <w:r w:rsidRPr="003723DF">
              <w:rPr>
                <w:rFonts w:ascii="Times New Roman" w:hAnsi="Times New Roman" w:cs="Times New Roman"/>
                <w:bCs/>
                <w:lang w:val="en-GB"/>
              </w:rPr>
              <w:t>Catapult</w:t>
            </w:r>
            <w:r w:rsidRPr="003723DF">
              <w:rPr>
                <w:rFonts w:ascii="Times New Roman" w:hAnsi="Times New Roman" w:cs="Times New Roman"/>
                <w:bCs/>
              </w:rPr>
              <w:t xml:space="preserve"> </w:t>
            </w:r>
            <w:r w:rsidRPr="003723DF">
              <w:rPr>
                <w:rFonts w:ascii="Times New Roman" w:hAnsi="Times New Roman" w:cs="Times New Roman"/>
                <w:bCs/>
                <w:lang w:val="en-GB"/>
              </w:rPr>
              <w:t>Centres</w:t>
            </w:r>
            <w:r w:rsidRPr="003723DF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7E0640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lang w:val="en-US"/>
              </w:rPr>
              <w:t>TSB</w:t>
            </w:r>
          </w:p>
          <w:p w:rsidR="00BF28DF" w:rsidRPr="003723DF" w:rsidRDefault="00BF28DF" w:rsidP="007E0640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</w:rPr>
              <w:t xml:space="preserve"> Государственное управление Технологической Стратегии Великобритании (ГУТС)</w:t>
            </w:r>
          </w:p>
        </w:tc>
        <w:tc>
          <w:tcPr>
            <w:tcW w:w="3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7E0640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</w:rPr>
              <w:t>Планируется открыть три новых инновационных центра в 2012 г., все шесть функционирующих к 2013 г.</w:t>
            </w:r>
          </w:p>
        </w:tc>
      </w:tr>
      <w:tr w:rsidR="00BF28DF" w:rsidRPr="003723DF" w:rsidTr="00F47191">
        <w:trPr>
          <w:trHeight w:val="2376"/>
        </w:trPr>
        <w:tc>
          <w:tcPr>
            <w:tcW w:w="3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7E0640">
            <w:pPr>
              <w:pStyle w:val="a7"/>
              <w:spacing w:after="0"/>
              <w:ind w:left="-3"/>
              <w:jc w:val="both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bCs/>
              </w:rPr>
              <w:lastRenderedPageBreak/>
              <w:t>Определение приоритетов для осуществления инвестиции в инновационные технологии, концентрация на синтетической биологии, энергосберегающая компьютеризация, аккумулирование энергии.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91" w:rsidRDefault="00F47191" w:rsidP="00AA5732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47191" w:rsidRDefault="00F47191" w:rsidP="00AA5732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47191" w:rsidRDefault="00F47191" w:rsidP="00AA5732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28DF" w:rsidRPr="003723DF" w:rsidRDefault="00BF28DF" w:rsidP="00F4719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lang w:val="en-US"/>
              </w:rPr>
              <w:t>TSB</w:t>
            </w:r>
          </w:p>
        </w:tc>
        <w:tc>
          <w:tcPr>
            <w:tcW w:w="3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7E0640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</w:rPr>
              <w:t>В течение 2012 г.</w:t>
            </w:r>
          </w:p>
        </w:tc>
      </w:tr>
      <w:tr w:rsidR="00BF28DF" w:rsidRPr="003723DF" w:rsidTr="00F47191">
        <w:trPr>
          <w:trHeight w:val="1520"/>
        </w:trPr>
        <w:tc>
          <w:tcPr>
            <w:tcW w:w="33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4F230F">
            <w:pPr>
              <w:pStyle w:val="a7"/>
              <w:spacing w:after="0"/>
              <w:ind w:left="-3"/>
              <w:jc w:val="both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bCs/>
              </w:rPr>
              <w:t>Выделение инвестиции в размере 21,5 млн. фунтов в 2012 г. (50 млн. в 2011 г.)  научным институтам для исследования графена.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BF28DF" w:rsidP="007E0640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723DF">
              <w:rPr>
                <w:rFonts w:ascii="Times New Roman" w:hAnsi="Times New Roman" w:cs="Times New Roman"/>
                <w:lang w:val="en-US"/>
              </w:rPr>
              <w:t>EPSRC</w:t>
            </w:r>
            <w:r w:rsidRPr="003723DF">
              <w:rPr>
                <w:rFonts w:ascii="Times New Roman" w:hAnsi="Times New Roman" w:cs="Times New Roman"/>
              </w:rPr>
              <w:t xml:space="preserve"> &amp; </w:t>
            </w:r>
            <w:r w:rsidRPr="003723DF">
              <w:rPr>
                <w:rFonts w:ascii="Times New Roman" w:hAnsi="Times New Roman" w:cs="Times New Roman"/>
                <w:lang w:val="en-US"/>
              </w:rPr>
              <w:t>TSB</w:t>
            </w:r>
            <w:r w:rsidRPr="003723DF">
              <w:rPr>
                <w:rFonts w:ascii="Times New Roman" w:hAnsi="Times New Roman" w:cs="Times New Roman"/>
              </w:rPr>
              <w:t xml:space="preserve"> – Совет по инженерным и физическим научным исследованиям и ГУТС Великобритании</w:t>
            </w:r>
          </w:p>
          <w:p w:rsidR="00BF28DF" w:rsidRPr="003723DF" w:rsidRDefault="00BF28DF" w:rsidP="007E0640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F" w:rsidRPr="003723DF" w:rsidRDefault="00353122" w:rsidP="007E0640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Осуществить </w:t>
            </w:r>
            <w:r w:rsidR="00BF28DF" w:rsidRPr="003723DF">
              <w:rPr>
                <w:rFonts w:ascii="Times New Roman" w:hAnsi="Times New Roman" w:cs="Times New Roman"/>
              </w:rPr>
              <w:t>к</w:t>
            </w:r>
            <w:r w:rsidR="00115784">
              <w:rPr>
                <w:rFonts w:ascii="Times New Roman" w:hAnsi="Times New Roman" w:cs="Times New Roman"/>
              </w:rPr>
              <w:t xml:space="preserve"> </w:t>
            </w:r>
            <w:r w:rsidR="00BF28DF" w:rsidRPr="003723DF">
              <w:rPr>
                <w:rFonts w:ascii="Times New Roman" w:hAnsi="Times New Roman" w:cs="Times New Roman"/>
              </w:rPr>
              <w:t>2015 г.</w:t>
            </w:r>
          </w:p>
        </w:tc>
      </w:tr>
    </w:tbl>
    <w:p w:rsidR="00B145FC" w:rsidRPr="001B3F77" w:rsidRDefault="00BF28DF" w:rsidP="00B145FC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В Великобритании также получила распространение система программ «LINK». В рамках каждой программы осуществляется поддержка НИОКР, направленных на создание научно-технологических новшеств, рассчитанных на последующее воплощение в рыночных продуктах. Финансирование проектов по программам осуществляется на долев</w:t>
      </w:r>
      <w:r w:rsidR="00137171">
        <w:rPr>
          <w:rFonts w:ascii="Times New Roman" w:hAnsi="Times New Roman" w:cs="Times New Roman"/>
          <w:sz w:val="28"/>
          <w:szCs w:val="28"/>
        </w:rPr>
        <w:t>ом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137171">
        <w:rPr>
          <w:rFonts w:ascii="Times New Roman" w:hAnsi="Times New Roman" w:cs="Times New Roman"/>
          <w:sz w:val="28"/>
          <w:szCs w:val="28"/>
        </w:rPr>
        <w:t>участии государственного и частного секторов</w:t>
      </w:r>
      <w:r w:rsidR="002215C4">
        <w:rPr>
          <w:rFonts w:ascii="Times New Roman" w:hAnsi="Times New Roman" w:cs="Times New Roman"/>
          <w:sz w:val="28"/>
          <w:szCs w:val="28"/>
        </w:rPr>
        <w:t>. Е</w:t>
      </w:r>
      <w:r w:rsidRPr="001B3F77">
        <w:rPr>
          <w:rFonts w:ascii="Times New Roman" w:hAnsi="Times New Roman" w:cs="Times New Roman"/>
          <w:sz w:val="28"/>
          <w:szCs w:val="28"/>
        </w:rPr>
        <w:t xml:space="preserve">жегодные расходы правительства на проекты «LINK» составляют около 33 млн. фунтов, столько же вносит </w:t>
      </w:r>
      <w:r w:rsidR="00137171">
        <w:rPr>
          <w:rFonts w:ascii="Times New Roman" w:hAnsi="Times New Roman" w:cs="Times New Roman"/>
          <w:sz w:val="28"/>
          <w:szCs w:val="28"/>
        </w:rPr>
        <w:t>бизнес</w:t>
      </w:r>
      <w:r w:rsidR="002215C4">
        <w:rPr>
          <w:rFonts w:ascii="Times New Roman" w:hAnsi="Times New Roman" w:cs="Times New Roman"/>
          <w:sz w:val="28"/>
          <w:szCs w:val="28"/>
        </w:rPr>
        <w:t xml:space="preserve"> (50%)</w:t>
      </w:r>
      <w:r w:rsidRPr="001B3F77">
        <w:rPr>
          <w:rFonts w:ascii="Times New Roman" w:hAnsi="Times New Roman" w:cs="Times New Roman"/>
          <w:sz w:val="28"/>
          <w:szCs w:val="28"/>
        </w:rPr>
        <w:t>.</w:t>
      </w:r>
      <w:r w:rsidR="001A04E0">
        <w:rPr>
          <w:rStyle w:val="a3"/>
          <w:rFonts w:ascii="Times New Roman" w:hAnsi="Times New Roman"/>
          <w:sz w:val="28"/>
          <w:szCs w:val="28"/>
        </w:rPr>
        <w:footnoteReference w:id="36"/>
      </w:r>
      <w:r w:rsidR="009B1729">
        <w:rPr>
          <w:rFonts w:ascii="Times New Roman" w:hAnsi="Times New Roman" w:cs="Times New Roman"/>
          <w:sz w:val="28"/>
          <w:szCs w:val="28"/>
        </w:rPr>
        <w:t xml:space="preserve"> </w:t>
      </w:r>
      <w:r w:rsidR="004E2C93">
        <w:rPr>
          <w:rFonts w:ascii="Times New Roman" w:hAnsi="Times New Roman" w:cs="Times New Roman"/>
          <w:sz w:val="28"/>
          <w:szCs w:val="28"/>
        </w:rPr>
        <w:t>В рамках данной</w:t>
      </w:r>
      <w:r w:rsidRPr="001B3F77">
        <w:rPr>
          <w:rFonts w:ascii="Times New Roman" w:hAnsi="Times New Roman" w:cs="Times New Roman"/>
          <w:sz w:val="28"/>
          <w:szCs w:val="28"/>
        </w:rPr>
        <w:t xml:space="preserve"> системы действуют несколько десятков программ, в которых участвуют более 1300 фирм, из которых около 700 </w:t>
      </w:r>
      <w:r w:rsidR="002215C4">
        <w:rPr>
          <w:rFonts w:ascii="Times New Roman" w:hAnsi="Times New Roman" w:cs="Times New Roman"/>
          <w:sz w:val="28"/>
          <w:szCs w:val="28"/>
        </w:rPr>
        <w:t>являются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="0043152B">
        <w:rPr>
          <w:rFonts w:ascii="Times New Roman" w:hAnsi="Times New Roman" w:cs="Times New Roman"/>
          <w:sz w:val="28"/>
          <w:szCs w:val="28"/>
        </w:rPr>
        <w:t>МСБ</w:t>
      </w:r>
      <w:r w:rsidRPr="001B3F77">
        <w:rPr>
          <w:rFonts w:ascii="Times New Roman" w:hAnsi="Times New Roman" w:cs="Times New Roman"/>
          <w:sz w:val="28"/>
          <w:szCs w:val="28"/>
        </w:rPr>
        <w:t>, а также около 200 научно-исследовательских учреждений.</w:t>
      </w:r>
      <w:r w:rsidR="00D43097">
        <w:rPr>
          <w:rStyle w:val="a3"/>
          <w:rFonts w:ascii="Times New Roman" w:hAnsi="Times New Roman"/>
          <w:sz w:val="28"/>
          <w:szCs w:val="28"/>
        </w:rPr>
        <w:footnoteReference w:id="37"/>
      </w:r>
    </w:p>
    <w:p w:rsidR="00F73AB8" w:rsidRPr="007A66B7" w:rsidRDefault="00F73AB8" w:rsidP="00224CD4">
      <w:pPr>
        <w:spacing w:after="0" w:line="360" w:lineRule="auto"/>
        <w:rPr>
          <w:rFonts w:ascii="Times New Roman" w:hAnsi="Times New Roman" w:cs="Times New Roman"/>
        </w:rPr>
      </w:pPr>
    </w:p>
    <w:p w:rsidR="00F73AB8" w:rsidRPr="007A66B7" w:rsidRDefault="00F73AB8" w:rsidP="00241DFF">
      <w:pPr>
        <w:pStyle w:val="a7"/>
        <w:numPr>
          <w:ilvl w:val="1"/>
          <w:numId w:val="10"/>
        </w:numPr>
        <w:spacing w:after="240" w:line="360" w:lineRule="auto"/>
        <w:ind w:left="0"/>
        <w:jc w:val="center"/>
        <w:rPr>
          <w:rFonts w:ascii="Times New Roman" w:hAnsi="Times New Roman" w:cs="Times New Roman"/>
        </w:rPr>
      </w:pPr>
      <w:r w:rsidRPr="007A66B7">
        <w:rPr>
          <w:rFonts w:ascii="Times New Roman" w:hAnsi="Times New Roman" w:cs="Times New Roman"/>
          <w:sz w:val="28"/>
          <w:szCs w:val="28"/>
        </w:rPr>
        <w:t>Механизмы поддержки и финансирования малого и среднего бизнеса</w:t>
      </w:r>
    </w:p>
    <w:p w:rsidR="00730344" w:rsidRPr="001B3F77" w:rsidRDefault="00730344" w:rsidP="00730344">
      <w:pPr>
        <w:pStyle w:val="a7"/>
        <w:spacing w:after="240" w:line="360" w:lineRule="auto"/>
        <w:ind w:left="0"/>
        <w:rPr>
          <w:rFonts w:ascii="Times New Roman" w:hAnsi="Times New Roman" w:cs="Times New Roman"/>
        </w:rPr>
      </w:pPr>
    </w:p>
    <w:p w:rsidR="00F73AB8" w:rsidRPr="001B3F77" w:rsidRDefault="00F73AB8" w:rsidP="00F73AB8">
      <w:pPr>
        <w:pStyle w:val="a7"/>
        <w:spacing w:after="24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В настоящее время в Великобритании существуют несколько направлений в политике правительства, которые ориентированы на стимулирование инновационной деятельности, осуществляемой бизнесом. </w:t>
      </w:r>
    </w:p>
    <w:p w:rsidR="00F73AB8" w:rsidRPr="001B3F77" w:rsidRDefault="00F73AB8" w:rsidP="00F73AB8">
      <w:pPr>
        <w:pStyle w:val="a7"/>
        <w:spacing w:after="24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В области передачи знаний функционируют механизмы поддержки, которые способствуют эффективному использованию бизнесом знаний, навыков и технологий университетов и прочих академических учреждений через модель сотрудничества.</w:t>
      </w:r>
      <w:r w:rsidR="00E44419">
        <w:rPr>
          <w:rStyle w:val="Footnoteanchor"/>
          <w:rFonts w:ascii="Times New Roman" w:hAnsi="Times New Roman" w:cs="Times New Roman"/>
        </w:rPr>
        <w:t xml:space="preserve"> </w:t>
      </w:r>
      <w:r w:rsidR="00E44419"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 xml:space="preserve">Ключевыми организациями данного направления являются </w:t>
      </w:r>
      <w:r w:rsidR="008E1606">
        <w:rPr>
          <w:rFonts w:ascii="Times New Roman" w:hAnsi="Times New Roman" w:cs="Times New Roman"/>
          <w:sz w:val="28"/>
          <w:szCs w:val="28"/>
        </w:rPr>
        <w:t xml:space="preserve">партнерства по трансферу знаний </w:t>
      </w:r>
      <w:r w:rsidRPr="001B3F77">
        <w:rPr>
          <w:rFonts w:ascii="Times New Roman" w:hAnsi="Times New Roman" w:cs="Times New Roman"/>
          <w:sz w:val="28"/>
          <w:szCs w:val="28"/>
        </w:rPr>
        <w:t>(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Knowledge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Transfer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Partnerships</w:t>
      </w:r>
      <w:r w:rsidRPr="001B3F77">
        <w:rPr>
          <w:rFonts w:ascii="Times New Roman" w:hAnsi="Times New Roman" w:cs="Times New Roman"/>
          <w:sz w:val="28"/>
          <w:szCs w:val="28"/>
        </w:rPr>
        <w:t xml:space="preserve">), которые частично субсидируются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>правительством Великобритании.</w:t>
      </w:r>
      <w:r w:rsidR="00E44419">
        <w:rPr>
          <w:rStyle w:val="a3"/>
          <w:rFonts w:ascii="Times New Roman" w:hAnsi="Times New Roman"/>
          <w:sz w:val="28"/>
          <w:szCs w:val="28"/>
        </w:rPr>
        <w:footnoteReference w:id="38"/>
      </w:r>
      <w:r w:rsidRPr="001B3F77">
        <w:rPr>
          <w:rFonts w:ascii="Times New Roman" w:hAnsi="Times New Roman" w:cs="Times New Roman"/>
          <w:sz w:val="28"/>
          <w:szCs w:val="28"/>
        </w:rPr>
        <w:t xml:space="preserve"> Каждое партнерство назначает высококвалифицированных людей для компании в целях содействия и помощи в процессе создания проду</w:t>
      </w:r>
      <w:r w:rsidR="005F4FDB">
        <w:rPr>
          <w:rFonts w:ascii="Times New Roman" w:hAnsi="Times New Roman" w:cs="Times New Roman"/>
          <w:sz w:val="28"/>
          <w:szCs w:val="28"/>
        </w:rPr>
        <w:t xml:space="preserve">кта. Проекты обычно длятся от 1 года </w:t>
      </w:r>
      <w:r w:rsidRPr="001B3F77">
        <w:rPr>
          <w:rFonts w:ascii="Times New Roman" w:hAnsi="Times New Roman" w:cs="Times New Roman"/>
          <w:sz w:val="28"/>
          <w:szCs w:val="28"/>
        </w:rPr>
        <w:t>до 3 лет.</w:t>
      </w:r>
      <w:r w:rsidR="008E1606">
        <w:rPr>
          <w:rStyle w:val="a3"/>
          <w:rFonts w:ascii="Times New Roman" w:hAnsi="Times New Roman"/>
          <w:sz w:val="28"/>
          <w:szCs w:val="28"/>
        </w:rPr>
        <w:footnoteReference w:id="39"/>
      </w:r>
      <w:r w:rsidRPr="001B3F77">
        <w:rPr>
          <w:rFonts w:ascii="Times New Roman" w:hAnsi="Times New Roman" w:cs="Times New Roman"/>
          <w:sz w:val="28"/>
          <w:szCs w:val="28"/>
        </w:rPr>
        <w:t xml:space="preserve"> Главной целью такого сотрудничества между бизнесом и образовательными учреждениями является облегчение обмена знаниями и опытом между обеими сторонами, а также стимулирования исследований, проводимых университетами и осознания их роли и вклада, который они могут внести в развитие и рост бизнеса.</w:t>
      </w:r>
    </w:p>
    <w:p w:rsidR="00F73AB8" w:rsidRPr="001B3F77" w:rsidRDefault="00F73AB8" w:rsidP="00F73AB8">
      <w:pPr>
        <w:pStyle w:val="a7"/>
        <w:spacing w:after="24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 Другим инструментом поддержки бизнеса являются научные парки или технопарки.</w:t>
      </w:r>
      <w:r w:rsidRPr="001B3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iCs/>
          <w:sz w:val="28"/>
          <w:szCs w:val="28"/>
        </w:rPr>
        <w:t xml:space="preserve">Они представляют собой организации, также направленные на поддержку и </w:t>
      </w:r>
      <w:r w:rsidRPr="001B3F77">
        <w:rPr>
          <w:rFonts w:ascii="Times New Roman" w:hAnsi="Times New Roman" w:cs="Times New Roman"/>
          <w:sz w:val="28"/>
          <w:szCs w:val="28"/>
        </w:rPr>
        <w:t xml:space="preserve"> стимулирование потоков знаний и технологий между университетами, научно-исследовательскими институтами и компаниями</w:t>
      </w:r>
      <w:r w:rsidR="008E1606">
        <w:rPr>
          <w:rFonts w:ascii="Times New Roman" w:hAnsi="Times New Roman" w:cs="Times New Roman"/>
          <w:sz w:val="28"/>
          <w:szCs w:val="28"/>
        </w:rPr>
        <w:t xml:space="preserve">. </w:t>
      </w:r>
      <w:r w:rsidRPr="001B3F77">
        <w:rPr>
          <w:rFonts w:ascii="Times New Roman" w:hAnsi="Times New Roman" w:cs="Times New Roman"/>
          <w:sz w:val="28"/>
          <w:szCs w:val="28"/>
        </w:rPr>
        <w:t xml:space="preserve">Модели различных технологических </w:t>
      </w:r>
      <w:r w:rsidR="009930AA">
        <w:rPr>
          <w:rFonts w:ascii="Times New Roman" w:hAnsi="Times New Roman" w:cs="Times New Roman"/>
          <w:sz w:val="28"/>
          <w:szCs w:val="28"/>
        </w:rPr>
        <w:t>парков отличаются друг от друга. К</w:t>
      </w:r>
      <w:r w:rsidRPr="001B3F77">
        <w:rPr>
          <w:rFonts w:ascii="Times New Roman" w:hAnsi="Times New Roman" w:cs="Times New Roman"/>
          <w:sz w:val="28"/>
          <w:szCs w:val="28"/>
        </w:rPr>
        <w:t xml:space="preserve"> примеру, бизнес инкубаторы поддерживают молодые компании на стадии ст</w:t>
      </w:r>
      <w:r w:rsidR="00F22737">
        <w:rPr>
          <w:rFonts w:ascii="Times New Roman" w:hAnsi="Times New Roman" w:cs="Times New Roman"/>
          <w:sz w:val="28"/>
          <w:szCs w:val="28"/>
        </w:rPr>
        <w:t>арт</w:t>
      </w:r>
      <w:r w:rsidRPr="001B3F77">
        <w:rPr>
          <w:rFonts w:ascii="Times New Roman" w:hAnsi="Times New Roman" w:cs="Times New Roman"/>
          <w:sz w:val="28"/>
          <w:szCs w:val="28"/>
        </w:rPr>
        <w:t>апов (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start</w:t>
      </w:r>
      <w:r w:rsidRPr="001B3F77">
        <w:rPr>
          <w:rFonts w:ascii="Times New Roman" w:hAnsi="Times New Roman" w:cs="Times New Roman"/>
          <w:sz w:val="28"/>
          <w:szCs w:val="28"/>
        </w:rPr>
        <w:t>-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ups</w:t>
      </w:r>
      <w:r w:rsidRPr="001B3F77">
        <w:rPr>
          <w:rFonts w:ascii="Times New Roman" w:hAnsi="Times New Roman" w:cs="Times New Roman"/>
          <w:sz w:val="28"/>
          <w:szCs w:val="28"/>
        </w:rPr>
        <w:t xml:space="preserve">) и предоставляют доступ к финансированию, помощь в управлении и техническую поддержку. </w:t>
      </w:r>
    </w:p>
    <w:p w:rsidR="00F73AB8" w:rsidRPr="001B3F77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Следующим механизмом являются налоговые льготы на РИ. Наличие государственной политики по поощрению расходов частного бизнеса на НИОКР путем налоговых стимулов, безусловно, является условием для</w:t>
      </w:r>
      <w:r w:rsidR="00044A9F" w:rsidRPr="00044A9F">
        <w:rPr>
          <w:rFonts w:ascii="Times New Roman" w:hAnsi="Times New Roman" w:cs="Times New Roman"/>
          <w:sz w:val="28"/>
          <w:szCs w:val="28"/>
        </w:rPr>
        <w:t xml:space="preserve"> </w:t>
      </w:r>
      <w:r w:rsidR="00044A9F">
        <w:rPr>
          <w:rFonts w:ascii="Times New Roman" w:hAnsi="Times New Roman" w:cs="Times New Roman"/>
          <w:sz w:val="28"/>
          <w:szCs w:val="28"/>
        </w:rPr>
        <w:t>возможности</w:t>
      </w:r>
      <w:r w:rsidRPr="001B3F77">
        <w:rPr>
          <w:rFonts w:ascii="Times New Roman" w:hAnsi="Times New Roman" w:cs="Times New Roman"/>
          <w:sz w:val="28"/>
          <w:szCs w:val="28"/>
        </w:rPr>
        <w:t xml:space="preserve"> роста расходов на исследования. На данный момент в Великобритании функционируют две схемы: первая предназначена для компаний с менее чем 500 штатных сотрудников (схема для </w:t>
      </w:r>
      <w:r w:rsidR="0031288D">
        <w:rPr>
          <w:rFonts w:ascii="Times New Roman" w:hAnsi="Times New Roman" w:cs="Times New Roman"/>
          <w:sz w:val="28"/>
          <w:szCs w:val="28"/>
        </w:rPr>
        <w:t>МСП</w:t>
      </w:r>
      <w:r w:rsidRPr="001B3F77">
        <w:rPr>
          <w:rFonts w:ascii="Times New Roman" w:hAnsi="Times New Roman" w:cs="Times New Roman"/>
          <w:sz w:val="28"/>
          <w:szCs w:val="28"/>
        </w:rPr>
        <w:t>), вторая – для крупных компаний.</w:t>
      </w:r>
      <w:r w:rsidR="0031288D">
        <w:rPr>
          <w:rStyle w:val="a3"/>
          <w:rFonts w:ascii="Times New Roman" w:hAnsi="Times New Roman"/>
          <w:sz w:val="28"/>
          <w:szCs w:val="28"/>
        </w:rPr>
        <w:footnoteReference w:id="40"/>
      </w:r>
      <w:r w:rsidRPr="001B3F77">
        <w:rPr>
          <w:rFonts w:ascii="Times New Roman" w:hAnsi="Times New Roman" w:cs="Times New Roman"/>
          <w:sz w:val="28"/>
          <w:szCs w:val="28"/>
        </w:rPr>
        <w:t xml:space="preserve"> В 2011 г. налоговые вычеты при подсчете суммы налога на прибыль возросли с 175% до 200% от расходов, подпадающих под критерии R&amp;D, для малых и средних компаний и 130% для крупных компаний. К 2013 г. планируется увеличить ставку налоговых вычетов до 225% для МСП.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bCs/>
          <w:sz w:val="28"/>
          <w:szCs w:val="28"/>
        </w:rPr>
        <w:t xml:space="preserve">Следующей формой поддержки бизнеса являются </w:t>
      </w:r>
      <w:r w:rsidRPr="001B3F77">
        <w:rPr>
          <w:rFonts w:ascii="Times New Roman" w:hAnsi="Times New Roman" w:cs="Times New Roman"/>
          <w:sz w:val="28"/>
          <w:szCs w:val="28"/>
        </w:rPr>
        <w:t>фонды роста на ранней стадии развития предприятий, или фонды «раннего роста» (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Early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Growth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Funds</w:t>
      </w:r>
      <w:r w:rsidRPr="001B3F77">
        <w:rPr>
          <w:rFonts w:ascii="Times New Roman" w:hAnsi="Times New Roman" w:cs="Times New Roman"/>
          <w:sz w:val="28"/>
          <w:szCs w:val="28"/>
        </w:rPr>
        <w:t xml:space="preserve"> –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EGF</w:t>
      </w:r>
      <w:r w:rsidRPr="001B3F77">
        <w:rPr>
          <w:rFonts w:ascii="Times New Roman" w:hAnsi="Times New Roman" w:cs="Times New Roman"/>
          <w:sz w:val="28"/>
          <w:szCs w:val="28"/>
        </w:rPr>
        <w:t>). Они были</w:t>
      </w:r>
      <w:r w:rsidRPr="001B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 xml:space="preserve">созданы на основе правительственной программы по стимулированию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>рискового финансирования фирм, находящихся на начальном этапе развития (стартапы и развивающиеся фирмы).</w:t>
      </w:r>
      <w:r w:rsidRPr="001B3F77">
        <w:rPr>
          <w:rStyle w:val="Footnoteanchor"/>
          <w:rFonts w:ascii="Times New Roman" w:hAnsi="Times New Roman" w:cs="Times New Roman"/>
        </w:rPr>
        <w:footnoteReference w:id="41"/>
      </w:r>
      <w:r w:rsidRPr="001B3F77">
        <w:rPr>
          <w:rFonts w:ascii="Times New Roman" w:hAnsi="Times New Roman" w:cs="Times New Roman"/>
          <w:sz w:val="28"/>
          <w:szCs w:val="28"/>
        </w:rPr>
        <w:t xml:space="preserve"> Основная цель программы – увеличить предоставление рискового капитала в небольших размерах (в среднем до 50 тыс., но не более 100 тыс. фунтов.)  для инновационного наукоемкого бизнеса. Фонды управляются на коммерческой основе и включают также финансовые средства частного сектора.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Получить финансовую поддержку фондов «раннего роста» EGF могут не</w:t>
      </w:r>
      <w:r w:rsidRPr="001B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только стартапы, но и наукоемкие фирмы, созданные при университетах, фирмы</w:t>
      </w:r>
      <w:r w:rsidRPr="001B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инновационно-активного бизнеса и другие</w:t>
      </w:r>
      <w:r w:rsidRPr="001B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bCs/>
          <w:sz w:val="28"/>
          <w:szCs w:val="28"/>
        </w:rPr>
        <w:t>н</w:t>
      </w:r>
      <w:r w:rsidRPr="001B3F77">
        <w:rPr>
          <w:rFonts w:ascii="Times New Roman" w:hAnsi="Times New Roman" w:cs="Times New Roman"/>
          <w:sz w:val="28"/>
          <w:szCs w:val="28"/>
        </w:rPr>
        <w:t>аукоемкие инновационные фирмы малого бизнеса. Фонды «раннего роста» EGF образуют совместно с региональными и национальными фондами венчурного капитала смешанную структуру для финансирования инновационной деятельности.</w:t>
      </w:r>
    </w:p>
    <w:p w:rsidR="00F73AB8" w:rsidRPr="001B3F77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Более подробно стоит рассмотреть программу Инициативы научных исследований малым бизнесом (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Initiative</w:t>
      </w:r>
      <w:r w:rsidRPr="001B3F77">
        <w:rPr>
          <w:rFonts w:ascii="Times New Roman" w:hAnsi="Times New Roman" w:cs="Times New Roman"/>
          <w:sz w:val="28"/>
          <w:szCs w:val="28"/>
        </w:rPr>
        <w:t xml:space="preserve"> -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SBRI</w:t>
      </w:r>
      <w:r w:rsidRPr="001B3F77">
        <w:rPr>
          <w:rFonts w:ascii="Times New Roman" w:hAnsi="Times New Roman" w:cs="Times New Roman"/>
          <w:sz w:val="28"/>
          <w:szCs w:val="28"/>
        </w:rPr>
        <w:t xml:space="preserve">), возникшую в 2009 г. в результате повышения спроса на инновации и с целью стимулирования разработок инновационных продуктов, и поддержки государством предприятий малого и среднего бизнеса. 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Среди основополагающих целей данной программы предоставление финансовой поддержки малому наукоемкому бизнесу, осуществляющему ИР и содействующему росту размеров рынка ИР; содействие малому бизнесу по увеличению объемов его расходов на ИР и создание для него новых рыночных условий; создание потенц</w:t>
      </w:r>
      <w:r w:rsidR="00913724">
        <w:rPr>
          <w:rFonts w:ascii="Times New Roman" w:hAnsi="Times New Roman" w:cs="Times New Roman"/>
          <w:sz w:val="28"/>
          <w:szCs w:val="28"/>
        </w:rPr>
        <w:t>иала для роста наукоемких старт</w:t>
      </w:r>
      <w:r w:rsidRPr="001B3F77">
        <w:rPr>
          <w:rFonts w:ascii="Times New Roman" w:hAnsi="Times New Roman" w:cs="Times New Roman"/>
          <w:sz w:val="28"/>
          <w:szCs w:val="28"/>
        </w:rPr>
        <w:t>апов.</w:t>
      </w:r>
      <w:r w:rsidRPr="001B3F77">
        <w:rPr>
          <w:rStyle w:val="Footnoteanchor"/>
          <w:rFonts w:ascii="Times New Roman" w:hAnsi="Times New Roman" w:cs="Times New Roman"/>
        </w:rPr>
        <w:footnoteReference w:id="42"/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предполагает, что научно-исследовательские советы направляют не менее 2,5% из предоставляемых государственных бюджетных средств </w:t>
      </w:r>
      <w:r w:rsidRPr="001B3F77">
        <w:rPr>
          <w:rFonts w:ascii="Times New Roman" w:hAnsi="Times New Roman" w:cs="Times New Roman"/>
          <w:sz w:val="28"/>
          <w:szCs w:val="28"/>
        </w:rPr>
        <w:lastRenderedPageBreak/>
        <w:t>на финансирование проектов ИР, выполняемых университетами совместно с фирмами малого и среднего бизнеса на основе партнерства.</w:t>
      </w:r>
      <w:r w:rsidRPr="001B3F77">
        <w:rPr>
          <w:rStyle w:val="Footnoteanchor"/>
          <w:rFonts w:ascii="Times New Roman" w:hAnsi="Times New Roman" w:cs="Times New Roman"/>
        </w:rPr>
        <w:footnoteReference w:id="43"/>
      </w:r>
      <w:r w:rsidRPr="001B3F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B90" w:rsidRPr="00954B90" w:rsidRDefault="00F73AB8" w:rsidP="00954B90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Компании предлагают свои инновационные решения специфических задач, которые общественный сектор ставит перед ними. Все предложенные идеи (к примеру, новая энергосберегающая технология) оцениваются </w:t>
      </w:r>
      <w:r w:rsidRPr="001B3F77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Pr="001B3F77">
        <w:rPr>
          <w:rFonts w:ascii="Times New Roman" w:hAnsi="Times New Roman" w:cs="Times New Roman"/>
          <w:sz w:val="28"/>
          <w:szCs w:val="28"/>
        </w:rPr>
        <w:t>, и те, которые</w:t>
      </w:r>
      <w:r w:rsidRPr="001B3F77">
        <w:rPr>
          <w:rFonts w:ascii="Times New Roman" w:hAnsi="Times New Roman" w:cs="Times New Roman"/>
          <w:sz w:val="32"/>
          <w:szCs w:val="28"/>
        </w:rPr>
        <w:t xml:space="preserve"> </w:t>
      </w:r>
      <w:r w:rsidRPr="001B3F77">
        <w:rPr>
          <w:rFonts w:ascii="Times New Roman" w:hAnsi="Times New Roman" w:cs="Times New Roman"/>
          <w:sz w:val="28"/>
          <w:szCs w:val="28"/>
        </w:rPr>
        <w:t>выигрывают в конкурентной борьбе, получают финансирование со стороны правительства в форме контракта.</w:t>
      </w:r>
      <w:r w:rsidRPr="001B3F77">
        <w:rPr>
          <w:rStyle w:val="Footnoteanchor"/>
          <w:rFonts w:ascii="Times New Roman" w:hAnsi="Times New Roman" w:cs="Times New Roman"/>
        </w:rPr>
        <w:footnoteReference w:id="44"/>
      </w:r>
      <w:r w:rsidRPr="001B3F77">
        <w:rPr>
          <w:rFonts w:ascii="Times New Roman" w:hAnsi="Times New Roman" w:cs="Times New Roman"/>
          <w:sz w:val="28"/>
          <w:szCs w:val="28"/>
        </w:rPr>
        <w:t xml:space="preserve"> Финансирование происходит в два этапа:</w:t>
      </w:r>
    </w:p>
    <w:p w:rsidR="00F73AB8" w:rsidRPr="001B3F77" w:rsidRDefault="00F73AB8" w:rsidP="00F73AB8">
      <w:pPr>
        <w:pStyle w:val="a7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B3F77">
        <w:rPr>
          <w:rFonts w:ascii="Times New Roman" w:hAnsi="Times New Roman" w:cs="Times New Roman"/>
          <w:sz w:val="28"/>
          <w:szCs w:val="28"/>
        </w:rPr>
        <w:t xml:space="preserve"> заключается в демонстрации научную, техническую и коммерческую осуществимость: проектам длительностью в 6 месяцев предоставляются гранты в размере от 50 тыс. до 100 тыс. фунтов. После этого проекты демонстрируются, а затем анализируются и оцениваются, прежде чем они смогут перейти на следующий этап.</w:t>
      </w:r>
    </w:p>
    <w:p w:rsidR="00F73AB8" w:rsidRPr="00954B90" w:rsidRDefault="00F73AB8" w:rsidP="00954B90">
      <w:pPr>
        <w:pStyle w:val="a7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1B3F77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1B3F77">
        <w:rPr>
          <w:rFonts w:ascii="Times New Roman" w:hAnsi="Times New Roman" w:cs="Times New Roman"/>
          <w:sz w:val="28"/>
          <w:szCs w:val="28"/>
        </w:rPr>
        <w:t xml:space="preserve"> состоит в разработке опытного образца: проекты длятся до 2-х, с финансированием в размере от 250 тыс. до 1 млн. фунтов. По результатам прохождения второго этапа, бизнес может коммерциализировать свой продукт, и предлагать его департаментам правительства.</w:t>
      </w:r>
      <w:r w:rsidRPr="001B3F77">
        <w:rPr>
          <w:rStyle w:val="Footnoteanchor"/>
          <w:rFonts w:ascii="Times New Roman" w:hAnsi="Times New Roman" w:cs="Times New Roman"/>
        </w:rPr>
        <w:footnoteReference w:id="45"/>
      </w:r>
    </w:p>
    <w:p w:rsidR="00954B90" w:rsidRPr="00954B90" w:rsidRDefault="00954B90" w:rsidP="00954B9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F73AB8" w:rsidRPr="001B3F77" w:rsidRDefault="00F73AB8" w:rsidP="00F73AB8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t>Данная программа со времен ее создания реформировалась и совершенствовалась для эффективного функционирования в долгосрочной перспективе. В начале апреля 2013 г. данная инициатива достигла успеха, когда общая сумма  подобных контрактов  превысила 100 млн. фунтов, по сравнению с 40 млн. в 2011-2012.</w:t>
      </w:r>
      <w:r w:rsidRPr="001B3F77">
        <w:rPr>
          <w:rStyle w:val="Footnoteanchor"/>
          <w:rFonts w:ascii="Times New Roman" w:hAnsi="Times New Roman" w:cs="Times New Roman"/>
        </w:rPr>
        <w:footnoteReference w:id="46"/>
      </w:r>
      <w:r w:rsidRPr="001B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35" w:rsidRPr="004C7E2B" w:rsidRDefault="00F73AB8" w:rsidP="001F2040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F77">
        <w:rPr>
          <w:rFonts w:ascii="Times New Roman" w:hAnsi="Times New Roman" w:cs="Times New Roman"/>
          <w:sz w:val="28"/>
          <w:szCs w:val="28"/>
        </w:rPr>
        <w:t>Так, с момента запуска Программы было заключено около 1,270 контрактов в результате 124 конкурсов на сумму 104,8 млн. фунтов.</w:t>
      </w:r>
      <w:r w:rsidRPr="001B3F77">
        <w:rPr>
          <w:rStyle w:val="Footnoteanchor"/>
          <w:rFonts w:ascii="Times New Roman" w:hAnsi="Times New Roman" w:cs="Times New Roman"/>
        </w:rPr>
        <w:footnoteReference w:id="47"/>
      </w:r>
      <w:r w:rsidRPr="001B3F77">
        <w:rPr>
          <w:rFonts w:ascii="Times New Roman" w:hAnsi="Times New Roman" w:cs="Times New Roman"/>
          <w:sz w:val="28"/>
          <w:szCs w:val="28"/>
        </w:rPr>
        <w:t xml:space="preserve"> Наиболее успешными из </w:t>
      </w:r>
      <w:r w:rsidRPr="001F2040">
        <w:rPr>
          <w:rFonts w:ascii="Times New Roman" w:hAnsi="Times New Roman" w:cs="Times New Roman"/>
          <w:sz w:val="28"/>
          <w:szCs w:val="28"/>
        </w:rPr>
        <w:t xml:space="preserve">них включают технологию мобильной службы безопасности для Министерства </w:t>
      </w:r>
      <w:r w:rsidRPr="001F2040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Великобритании, военную технологию для Центра Предприятия </w:t>
      </w:r>
      <w:r w:rsidRPr="000C1908">
        <w:rPr>
          <w:rFonts w:ascii="Times New Roman" w:hAnsi="Times New Roman" w:cs="Times New Roman"/>
          <w:sz w:val="28"/>
          <w:szCs w:val="28"/>
        </w:rPr>
        <w:t>оборонного комплекса, и обучающее программное обеспечение для Министерства предпринимательства, инноваций и ремесел Соединенного Королевства.</w:t>
      </w:r>
    </w:p>
    <w:p w:rsidR="000F4125" w:rsidRPr="00BD1CEA" w:rsidRDefault="000C1908" w:rsidP="00BD1CEA">
      <w:pPr>
        <w:pStyle w:val="a7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908">
        <w:rPr>
          <w:rFonts w:ascii="Times New Roman" w:hAnsi="Times New Roman" w:cs="Times New Roman"/>
          <w:sz w:val="28"/>
          <w:szCs w:val="28"/>
        </w:rPr>
        <w:t>Система грантов</w:t>
      </w:r>
      <w:r w:rsidR="006862F6">
        <w:rPr>
          <w:rFonts w:ascii="Times New Roman" w:hAnsi="Times New Roman" w:cs="Times New Roman"/>
          <w:sz w:val="28"/>
          <w:szCs w:val="28"/>
        </w:rPr>
        <w:t xml:space="preserve"> на научные исследования</w:t>
      </w:r>
      <w:r w:rsidRPr="000C1908">
        <w:rPr>
          <w:rFonts w:ascii="Times New Roman" w:hAnsi="Times New Roman" w:cs="Times New Roman"/>
          <w:sz w:val="28"/>
          <w:szCs w:val="28"/>
        </w:rPr>
        <w:t xml:space="preserve"> </w:t>
      </w:r>
      <w:r w:rsidRPr="000C1908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Pr="000C1908">
        <w:rPr>
          <w:rFonts w:ascii="Times New Roman" w:hAnsi="Times New Roman" w:cs="Times New Roman"/>
          <w:sz w:val="28"/>
          <w:szCs w:val="28"/>
        </w:rPr>
        <w:t xml:space="preserve"> </w:t>
      </w:r>
      <w:r w:rsidRPr="000C190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C1908">
        <w:rPr>
          <w:rFonts w:ascii="Times New Roman" w:hAnsi="Times New Roman" w:cs="Times New Roman"/>
          <w:sz w:val="28"/>
          <w:szCs w:val="28"/>
        </w:rPr>
        <w:t xml:space="preserve"> </w:t>
      </w:r>
      <w:r w:rsidRPr="000C19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1908">
        <w:rPr>
          <w:rFonts w:ascii="Times New Roman" w:hAnsi="Times New Roman" w:cs="Times New Roman"/>
          <w:sz w:val="28"/>
          <w:szCs w:val="28"/>
        </w:rPr>
        <w:t>&amp;</w:t>
      </w:r>
      <w:r w:rsidRPr="000C19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1908">
        <w:rPr>
          <w:rFonts w:ascii="Times New Roman" w:hAnsi="Times New Roman" w:cs="Times New Roman"/>
          <w:sz w:val="28"/>
          <w:szCs w:val="28"/>
        </w:rPr>
        <w:t xml:space="preserve"> б</w:t>
      </w:r>
      <w:r w:rsidR="008D3D7D">
        <w:rPr>
          <w:rFonts w:ascii="Times New Roman" w:hAnsi="Times New Roman" w:cs="Times New Roman"/>
          <w:sz w:val="28"/>
          <w:szCs w:val="28"/>
        </w:rPr>
        <w:t>ыла обновлена и переименована в</w:t>
      </w:r>
      <w:r w:rsidR="008D3D7D" w:rsidRPr="008D3D7D">
        <w:rPr>
          <w:rFonts w:ascii="Times New Roman" w:hAnsi="Times New Roman" w:cs="Times New Roman"/>
          <w:sz w:val="28"/>
          <w:szCs w:val="28"/>
        </w:rPr>
        <w:t xml:space="preserve"> </w:t>
      </w:r>
      <w:r w:rsidR="008D3D7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8D3D7D" w:rsidRPr="008D3D7D">
        <w:rPr>
          <w:rFonts w:ascii="Times New Roman" w:hAnsi="Times New Roman" w:cs="Times New Roman"/>
          <w:sz w:val="28"/>
          <w:szCs w:val="28"/>
        </w:rPr>
        <w:t xml:space="preserve"> </w:t>
      </w:r>
      <w:r w:rsidR="008D3D7D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="008D3D7D" w:rsidRPr="008D3D7D">
        <w:rPr>
          <w:rFonts w:ascii="Times New Roman" w:hAnsi="Times New Roman" w:cs="Times New Roman"/>
          <w:sz w:val="28"/>
          <w:szCs w:val="28"/>
        </w:rPr>
        <w:t xml:space="preserve"> </w:t>
      </w:r>
      <w:r w:rsidR="000E0485">
        <w:rPr>
          <w:rFonts w:ascii="Times New Roman" w:hAnsi="Times New Roman" w:cs="Times New Roman"/>
          <w:sz w:val="28"/>
          <w:szCs w:val="28"/>
        </w:rPr>
        <w:t>под руководством</w:t>
      </w:r>
      <w:r w:rsidR="00962505">
        <w:rPr>
          <w:rFonts w:ascii="Times New Roman" w:hAnsi="Times New Roman" w:cs="Times New Roman"/>
          <w:sz w:val="28"/>
          <w:szCs w:val="28"/>
        </w:rPr>
        <w:t xml:space="preserve"> Департамента торговли и промышленности Великобритании (</w:t>
      </w:r>
      <w:r w:rsidR="000E0485">
        <w:rPr>
          <w:rFonts w:ascii="Times New Roman" w:hAnsi="Times New Roman" w:cs="Times New Roman"/>
          <w:sz w:val="28"/>
          <w:szCs w:val="28"/>
          <w:lang w:val="en-US"/>
        </w:rPr>
        <w:t>DTI</w:t>
      </w:r>
      <w:r w:rsidR="00962505">
        <w:rPr>
          <w:rFonts w:ascii="Times New Roman" w:hAnsi="Times New Roman" w:cs="Times New Roman"/>
          <w:sz w:val="28"/>
          <w:szCs w:val="28"/>
        </w:rPr>
        <w:t>)</w:t>
      </w:r>
      <w:r w:rsidR="000E0485" w:rsidRPr="000E0485">
        <w:rPr>
          <w:rFonts w:ascii="Times New Roman" w:hAnsi="Times New Roman" w:cs="Times New Roman"/>
          <w:sz w:val="28"/>
          <w:szCs w:val="28"/>
        </w:rPr>
        <w:t>.</w:t>
      </w:r>
      <w:r w:rsidR="006862F6">
        <w:rPr>
          <w:rStyle w:val="a3"/>
          <w:rFonts w:ascii="Times New Roman" w:hAnsi="Times New Roman"/>
          <w:sz w:val="28"/>
          <w:szCs w:val="28"/>
        </w:rPr>
        <w:footnoteReference w:id="48"/>
      </w:r>
      <w:r w:rsidR="00996973">
        <w:rPr>
          <w:rFonts w:ascii="Times New Roman" w:hAnsi="Times New Roman" w:cs="Times New Roman"/>
          <w:sz w:val="28"/>
          <w:szCs w:val="28"/>
        </w:rPr>
        <w:t xml:space="preserve"> </w:t>
      </w:r>
      <w:r w:rsidR="00C26317">
        <w:rPr>
          <w:rFonts w:ascii="Times New Roman" w:hAnsi="Times New Roman" w:cs="Times New Roman"/>
          <w:sz w:val="28"/>
          <w:szCs w:val="28"/>
        </w:rPr>
        <w:t xml:space="preserve">Правительственной политикой </w:t>
      </w:r>
      <w:r w:rsidR="00C26317">
        <w:rPr>
          <w:rFonts w:ascii="Times New Roman" w:hAnsi="Times New Roman" w:cs="Times New Roman"/>
          <w:sz w:val="28"/>
          <w:szCs w:val="28"/>
          <w:lang w:val="en-US"/>
        </w:rPr>
        <w:t>IRSG</w:t>
      </w:r>
      <w:r w:rsidR="00C26317" w:rsidRPr="00580032">
        <w:rPr>
          <w:rFonts w:ascii="Times New Roman" w:hAnsi="Times New Roman" w:cs="Times New Roman"/>
          <w:sz w:val="28"/>
          <w:szCs w:val="28"/>
        </w:rPr>
        <w:t xml:space="preserve"> </w:t>
      </w:r>
      <w:r w:rsidR="00C26317">
        <w:rPr>
          <w:rFonts w:ascii="Times New Roman" w:hAnsi="Times New Roman" w:cs="Times New Roman"/>
          <w:sz w:val="28"/>
          <w:szCs w:val="28"/>
        </w:rPr>
        <w:t>предусматр</w:t>
      </w:r>
      <w:r w:rsidR="00580032">
        <w:rPr>
          <w:rFonts w:ascii="Times New Roman" w:hAnsi="Times New Roman" w:cs="Times New Roman"/>
          <w:sz w:val="28"/>
          <w:szCs w:val="28"/>
        </w:rPr>
        <w:t>иваю</w:t>
      </w:r>
      <w:r w:rsidR="00C26317">
        <w:rPr>
          <w:rFonts w:ascii="Times New Roman" w:hAnsi="Times New Roman" w:cs="Times New Roman"/>
          <w:sz w:val="28"/>
          <w:szCs w:val="28"/>
        </w:rPr>
        <w:t xml:space="preserve">тся </w:t>
      </w:r>
      <w:r w:rsidR="00580032">
        <w:rPr>
          <w:rFonts w:ascii="Times New Roman" w:hAnsi="Times New Roman" w:cs="Times New Roman"/>
          <w:sz w:val="28"/>
          <w:szCs w:val="28"/>
        </w:rPr>
        <w:t xml:space="preserve">инвестиции в размере 75 млн. фунтов посредством </w:t>
      </w:r>
      <w:r w:rsidR="00580032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580032" w:rsidRPr="00580032">
        <w:rPr>
          <w:rFonts w:ascii="Times New Roman" w:hAnsi="Times New Roman" w:cs="Times New Roman"/>
          <w:sz w:val="28"/>
          <w:szCs w:val="28"/>
        </w:rPr>
        <w:t xml:space="preserve"> </w:t>
      </w:r>
      <w:r w:rsidR="008A43FA">
        <w:rPr>
          <w:rFonts w:ascii="Times New Roman" w:hAnsi="Times New Roman" w:cs="Times New Roman"/>
          <w:sz w:val="28"/>
          <w:szCs w:val="28"/>
        </w:rPr>
        <w:t>на</w:t>
      </w:r>
      <w:r w:rsidR="00B91F00">
        <w:rPr>
          <w:rFonts w:ascii="Times New Roman" w:hAnsi="Times New Roman" w:cs="Times New Roman"/>
          <w:sz w:val="28"/>
          <w:szCs w:val="28"/>
        </w:rPr>
        <w:t xml:space="preserve"> ИР </w:t>
      </w:r>
      <w:r w:rsidR="00A34C8C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8A43FA">
        <w:rPr>
          <w:rFonts w:ascii="Times New Roman" w:hAnsi="Times New Roman" w:cs="Times New Roman"/>
          <w:sz w:val="28"/>
          <w:szCs w:val="28"/>
        </w:rPr>
        <w:t xml:space="preserve">, а именно на </w:t>
      </w:r>
      <w:r w:rsidR="00C95CD2">
        <w:rPr>
          <w:rFonts w:ascii="Times New Roman" w:hAnsi="Times New Roman" w:cs="Times New Roman"/>
          <w:sz w:val="28"/>
          <w:szCs w:val="28"/>
        </w:rPr>
        <w:t xml:space="preserve"> опытно-экспериментальную</w:t>
      </w:r>
      <w:r w:rsidR="00CD0A25">
        <w:rPr>
          <w:rFonts w:ascii="Times New Roman" w:hAnsi="Times New Roman" w:cs="Times New Roman"/>
          <w:sz w:val="28"/>
          <w:szCs w:val="28"/>
        </w:rPr>
        <w:t xml:space="preserve"> </w:t>
      </w:r>
      <w:r w:rsidR="008A43FA">
        <w:rPr>
          <w:rFonts w:ascii="Times New Roman" w:hAnsi="Times New Roman" w:cs="Times New Roman"/>
          <w:sz w:val="28"/>
          <w:szCs w:val="28"/>
        </w:rPr>
        <w:t>проверку концепций, мероприятия по</w:t>
      </w:r>
      <w:r w:rsidR="00732ECC">
        <w:rPr>
          <w:rFonts w:ascii="Times New Roman" w:hAnsi="Times New Roman" w:cs="Times New Roman"/>
          <w:sz w:val="28"/>
          <w:szCs w:val="28"/>
        </w:rPr>
        <w:t xml:space="preserve"> освоению </w:t>
      </w:r>
      <w:r w:rsidR="008A43FA">
        <w:rPr>
          <w:rFonts w:ascii="Times New Roman" w:hAnsi="Times New Roman" w:cs="Times New Roman"/>
          <w:sz w:val="28"/>
          <w:szCs w:val="28"/>
        </w:rPr>
        <w:t xml:space="preserve">рынка и </w:t>
      </w:r>
      <w:r w:rsidR="00732ECC">
        <w:rPr>
          <w:rFonts w:ascii="Times New Roman" w:hAnsi="Times New Roman" w:cs="Times New Roman"/>
          <w:sz w:val="28"/>
          <w:szCs w:val="28"/>
        </w:rPr>
        <w:t>разработке опытного образца.</w:t>
      </w:r>
      <w:r w:rsidR="008A4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D2" w:rsidRDefault="00C95CD2" w:rsidP="00C95CD2">
      <w:pPr>
        <w:tabs>
          <w:tab w:val="left" w:pos="4153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элементом новой стратегии коалиционного правительства стали Технико-инновационные ц</w:t>
      </w:r>
      <w:r w:rsidR="00FB2764" w:rsidRPr="001F2040">
        <w:rPr>
          <w:rFonts w:ascii="Times New Roman" w:hAnsi="Times New Roman" w:cs="Times New Roman"/>
          <w:sz w:val="28"/>
          <w:szCs w:val="28"/>
        </w:rPr>
        <w:t>ентры, которые созданы с целью способствова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FB2764" w:rsidRPr="001F2040">
        <w:rPr>
          <w:rFonts w:ascii="Times New Roman" w:hAnsi="Times New Roman" w:cs="Times New Roman"/>
          <w:sz w:val="28"/>
          <w:szCs w:val="28"/>
        </w:rPr>
        <w:t xml:space="preserve"> сотрудничеству</w:t>
      </w:r>
      <w:r w:rsidR="002313ED" w:rsidRPr="001F2040">
        <w:rPr>
          <w:rFonts w:ascii="Times New Roman" w:hAnsi="Times New Roman" w:cs="Times New Roman"/>
          <w:sz w:val="28"/>
          <w:szCs w:val="28"/>
        </w:rPr>
        <w:t xml:space="preserve"> между высшей школой и бизнесом, а также</w:t>
      </w:r>
      <w:r w:rsidR="005F3839" w:rsidRPr="001F2040">
        <w:rPr>
          <w:rFonts w:ascii="Times New Roman" w:hAnsi="Times New Roman" w:cs="Times New Roman"/>
          <w:sz w:val="28"/>
          <w:szCs w:val="28"/>
        </w:rPr>
        <w:t>,</w:t>
      </w:r>
      <w:r w:rsidR="002313ED" w:rsidRPr="001F2040">
        <w:rPr>
          <w:rFonts w:ascii="Times New Roman" w:hAnsi="Times New Roman" w:cs="Times New Roman"/>
          <w:sz w:val="28"/>
          <w:szCs w:val="28"/>
        </w:rPr>
        <w:t xml:space="preserve"> чтобы поддерживать процесс коммерциализации новых технологий</w:t>
      </w:r>
      <w:r w:rsidR="002313ED" w:rsidRPr="001F2040"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52" w:rsidRPr="007101E0" w:rsidRDefault="00C27334" w:rsidP="007101E0">
      <w:pPr>
        <w:tabs>
          <w:tab w:val="left" w:pos="4153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040">
        <w:rPr>
          <w:rFonts w:ascii="Times New Roman" w:hAnsi="Times New Roman" w:cs="Times New Roman"/>
          <w:sz w:val="28"/>
          <w:szCs w:val="28"/>
        </w:rPr>
        <w:t>Планируемый размер финансирования шести инновационных</w:t>
      </w:r>
      <w:r>
        <w:rPr>
          <w:rFonts w:ascii="Times New Roman" w:hAnsi="Times New Roman" w:cs="Times New Roman"/>
          <w:sz w:val="28"/>
        </w:rPr>
        <w:t xml:space="preserve"> центров со стороны </w:t>
      </w:r>
      <w:r>
        <w:rPr>
          <w:rFonts w:ascii="Times New Roman" w:hAnsi="Times New Roman" w:cs="Times New Roman"/>
          <w:sz w:val="28"/>
          <w:lang w:val="en-US"/>
        </w:rPr>
        <w:t>TSB</w:t>
      </w:r>
      <w:r>
        <w:rPr>
          <w:rFonts w:ascii="Times New Roman" w:hAnsi="Times New Roman" w:cs="Times New Roman"/>
          <w:sz w:val="28"/>
        </w:rPr>
        <w:t xml:space="preserve"> составлял 200 млн. фунтов</w:t>
      </w:r>
      <w:r w:rsidR="00B24604">
        <w:rPr>
          <w:rFonts w:ascii="Times New Roman" w:hAnsi="Times New Roman" w:cs="Times New Roman"/>
          <w:sz w:val="28"/>
        </w:rPr>
        <w:t>, строительство</w:t>
      </w:r>
      <w:r w:rsidR="00484344">
        <w:rPr>
          <w:rFonts w:ascii="Times New Roman" w:hAnsi="Times New Roman" w:cs="Times New Roman"/>
          <w:sz w:val="28"/>
        </w:rPr>
        <w:t xml:space="preserve"> которых</w:t>
      </w:r>
      <w:r w:rsidR="00F2190A">
        <w:rPr>
          <w:rFonts w:ascii="Times New Roman" w:hAnsi="Times New Roman" w:cs="Times New Roman"/>
          <w:sz w:val="28"/>
        </w:rPr>
        <w:t xml:space="preserve"> планируется</w:t>
      </w:r>
      <w:r>
        <w:rPr>
          <w:rFonts w:ascii="Times New Roman" w:hAnsi="Times New Roman" w:cs="Times New Roman"/>
          <w:sz w:val="28"/>
        </w:rPr>
        <w:t xml:space="preserve"> </w:t>
      </w:r>
      <w:r w:rsidR="00F2190A">
        <w:rPr>
          <w:rFonts w:ascii="Times New Roman" w:hAnsi="Times New Roman" w:cs="Times New Roman"/>
          <w:sz w:val="28"/>
        </w:rPr>
        <w:t>завершить</w:t>
      </w:r>
      <w:r>
        <w:rPr>
          <w:rFonts w:ascii="Times New Roman" w:hAnsi="Times New Roman" w:cs="Times New Roman"/>
          <w:sz w:val="28"/>
        </w:rPr>
        <w:t xml:space="preserve"> в 2013 г.</w:t>
      </w:r>
      <w:r w:rsidR="00A220FD">
        <w:rPr>
          <w:rFonts w:ascii="Times New Roman" w:hAnsi="Times New Roman" w:cs="Times New Roman"/>
          <w:sz w:val="28"/>
        </w:rPr>
        <w:t xml:space="preserve"> </w:t>
      </w:r>
      <w:r w:rsidR="007519CB">
        <w:rPr>
          <w:rFonts w:ascii="Times New Roman" w:hAnsi="Times New Roman" w:cs="Times New Roman"/>
          <w:sz w:val="28"/>
        </w:rPr>
        <w:t>В декабре 2011 г. было объявлено об учреждении Центра клеточной терапии в Лондоне.</w:t>
      </w:r>
      <w:r w:rsidR="00F56A2B">
        <w:rPr>
          <w:rFonts w:ascii="Times New Roman" w:hAnsi="Times New Roman" w:cs="Times New Roman"/>
          <w:sz w:val="28"/>
        </w:rPr>
        <w:t xml:space="preserve"> Инвестиции </w:t>
      </w:r>
      <w:r w:rsidR="00F56A2B">
        <w:rPr>
          <w:rFonts w:ascii="Times New Roman" w:hAnsi="Times New Roman" w:cs="Times New Roman"/>
          <w:sz w:val="28"/>
          <w:lang w:val="en-US"/>
        </w:rPr>
        <w:t>TSB</w:t>
      </w:r>
      <w:r w:rsidR="00F56A2B" w:rsidRPr="00F56A2B">
        <w:rPr>
          <w:rFonts w:ascii="Times New Roman" w:hAnsi="Times New Roman" w:cs="Times New Roman"/>
          <w:sz w:val="28"/>
        </w:rPr>
        <w:t xml:space="preserve"> </w:t>
      </w:r>
      <w:r w:rsidR="00F56A2B">
        <w:rPr>
          <w:rFonts w:ascii="Times New Roman" w:hAnsi="Times New Roman" w:cs="Times New Roman"/>
          <w:sz w:val="28"/>
        </w:rPr>
        <w:t xml:space="preserve"> в центры в будущие пять лет будет составлять 50 млн. фунтов.</w:t>
      </w:r>
      <w:r w:rsidR="008A4A59">
        <w:rPr>
          <w:rStyle w:val="a3"/>
          <w:rFonts w:ascii="Times New Roman" w:hAnsi="Times New Roman"/>
          <w:sz w:val="28"/>
        </w:rPr>
        <w:footnoteReference w:id="49"/>
      </w:r>
      <w:r w:rsidR="007101E0">
        <w:rPr>
          <w:rFonts w:ascii="Times New Roman" w:hAnsi="Times New Roman" w:cs="Times New Roman"/>
          <w:sz w:val="28"/>
          <w:szCs w:val="28"/>
        </w:rPr>
        <w:t xml:space="preserve"> </w:t>
      </w:r>
      <w:r w:rsidR="00A0394E">
        <w:rPr>
          <w:rFonts w:ascii="Times New Roman" w:hAnsi="Times New Roman" w:cs="Times New Roman"/>
          <w:sz w:val="28"/>
        </w:rPr>
        <w:t xml:space="preserve">Центры транспортного комплекса и Городов будущего объединят </w:t>
      </w:r>
      <w:r w:rsidR="000548C8">
        <w:rPr>
          <w:rFonts w:ascii="Times New Roman" w:hAnsi="Times New Roman" w:cs="Times New Roman"/>
          <w:sz w:val="28"/>
        </w:rPr>
        <w:t xml:space="preserve">лидирующие международные </w:t>
      </w:r>
      <w:r w:rsidR="00A0394E">
        <w:rPr>
          <w:rFonts w:ascii="Times New Roman" w:hAnsi="Times New Roman" w:cs="Times New Roman"/>
          <w:sz w:val="28"/>
        </w:rPr>
        <w:t>компании</w:t>
      </w:r>
      <w:r w:rsidR="000548C8">
        <w:rPr>
          <w:rFonts w:ascii="Times New Roman" w:hAnsi="Times New Roman" w:cs="Times New Roman"/>
          <w:sz w:val="28"/>
        </w:rPr>
        <w:t xml:space="preserve"> в сфере информационных технологий (</w:t>
      </w:r>
      <w:r w:rsidR="000548C8">
        <w:rPr>
          <w:rFonts w:ascii="Times New Roman" w:hAnsi="Times New Roman" w:cs="Times New Roman"/>
          <w:sz w:val="28"/>
          <w:lang w:val="en-US"/>
        </w:rPr>
        <w:t>IT</w:t>
      </w:r>
      <w:r w:rsidR="000548C8" w:rsidRPr="000548C8">
        <w:rPr>
          <w:rFonts w:ascii="Times New Roman" w:hAnsi="Times New Roman" w:cs="Times New Roman"/>
          <w:sz w:val="28"/>
        </w:rPr>
        <w:t>)</w:t>
      </w:r>
      <w:r w:rsidR="00A0394E">
        <w:rPr>
          <w:rFonts w:ascii="Times New Roman" w:hAnsi="Times New Roman" w:cs="Times New Roman"/>
          <w:sz w:val="28"/>
        </w:rPr>
        <w:t>, инновационные МСП и ведущих университетов с целью облегчить коммерциализацию технологий, которые повысят эффективность и улучшать качество транспорт</w:t>
      </w:r>
      <w:r w:rsidR="004F358D">
        <w:rPr>
          <w:rFonts w:ascii="Times New Roman" w:hAnsi="Times New Roman" w:cs="Times New Roman"/>
          <w:sz w:val="28"/>
        </w:rPr>
        <w:t>ных средств</w:t>
      </w:r>
      <w:r w:rsidR="00F43DE5">
        <w:rPr>
          <w:rFonts w:ascii="Times New Roman" w:hAnsi="Times New Roman" w:cs="Times New Roman"/>
          <w:sz w:val="28"/>
        </w:rPr>
        <w:t>.</w:t>
      </w:r>
    </w:p>
    <w:p w:rsidR="002D1555" w:rsidRPr="00AE23A8" w:rsidRDefault="00484344" w:rsidP="001F2040">
      <w:pPr>
        <w:tabs>
          <w:tab w:val="left" w:pos="4153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Кроме того, в</w:t>
      </w:r>
      <w:r w:rsidR="0029454F" w:rsidRPr="0029454F">
        <w:rPr>
          <w:rFonts w:ascii="Times New Roman" w:hAnsi="Times New Roman" w:cs="Times New Roman"/>
          <w:sz w:val="28"/>
        </w:rPr>
        <w:t xml:space="preserve"> </w:t>
      </w:r>
      <w:r w:rsidR="0029454F">
        <w:rPr>
          <w:rFonts w:ascii="Times New Roman" w:hAnsi="Times New Roman" w:cs="Times New Roman"/>
          <w:sz w:val="28"/>
        </w:rPr>
        <w:t>марте</w:t>
      </w:r>
      <w:r w:rsidR="0029454F" w:rsidRPr="0029454F">
        <w:rPr>
          <w:rFonts w:ascii="Times New Roman" w:hAnsi="Times New Roman" w:cs="Times New Roman"/>
          <w:sz w:val="28"/>
        </w:rPr>
        <w:t xml:space="preserve"> 2012</w:t>
      </w:r>
      <w:r w:rsidR="0029454F">
        <w:rPr>
          <w:rFonts w:ascii="Times New Roman" w:hAnsi="Times New Roman" w:cs="Times New Roman"/>
          <w:sz w:val="28"/>
        </w:rPr>
        <w:t xml:space="preserve"> г. в</w:t>
      </w:r>
      <w:r>
        <w:rPr>
          <w:rFonts w:ascii="Times New Roman" w:hAnsi="Times New Roman" w:cs="Times New Roman"/>
          <w:sz w:val="28"/>
        </w:rPr>
        <w:t xml:space="preserve"> рамках проекта бюджета </w:t>
      </w:r>
      <w:r w:rsidR="0029454F">
        <w:rPr>
          <w:rFonts w:ascii="Times New Roman" w:hAnsi="Times New Roman" w:cs="Times New Roman"/>
          <w:sz w:val="28"/>
        </w:rPr>
        <w:t xml:space="preserve">министр финансов Великобритании, </w:t>
      </w:r>
      <w:r>
        <w:rPr>
          <w:rFonts w:ascii="Times New Roman" w:hAnsi="Times New Roman" w:cs="Times New Roman"/>
          <w:sz w:val="28"/>
        </w:rPr>
        <w:t>Джордж Осборн</w:t>
      </w:r>
      <w:r w:rsidR="002945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заявил о направлении </w:t>
      </w:r>
      <w:r w:rsidR="00716952">
        <w:rPr>
          <w:rFonts w:ascii="Times New Roman" w:hAnsi="Times New Roman" w:cs="Times New Roman"/>
          <w:sz w:val="28"/>
        </w:rPr>
        <w:t>60 млн. фунтов на учреждение британского центра аэродинамики</w:t>
      </w:r>
      <w:r w:rsidR="0029454F" w:rsidRPr="0029454F">
        <w:rPr>
          <w:rFonts w:ascii="Times New Roman" w:hAnsi="Times New Roman" w:cs="Times New Roman"/>
          <w:sz w:val="28"/>
        </w:rPr>
        <w:t xml:space="preserve"> </w:t>
      </w:r>
      <w:r w:rsidR="0029454F">
        <w:rPr>
          <w:rFonts w:ascii="Times New Roman" w:hAnsi="Times New Roman" w:cs="Times New Roman"/>
          <w:sz w:val="28"/>
        </w:rPr>
        <w:t>(</w:t>
      </w:r>
      <w:r w:rsidR="0029454F">
        <w:rPr>
          <w:rFonts w:ascii="Times New Roman" w:hAnsi="Times New Roman" w:cs="Times New Roman"/>
          <w:sz w:val="28"/>
          <w:lang w:val="en-US"/>
        </w:rPr>
        <w:t>UK</w:t>
      </w:r>
      <w:r w:rsidR="0029454F" w:rsidRPr="0029454F">
        <w:rPr>
          <w:rFonts w:ascii="Times New Roman" w:hAnsi="Times New Roman" w:cs="Times New Roman"/>
          <w:sz w:val="28"/>
        </w:rPr>
        <w:t xml:space="preserve"> </w:t>
      </w:r>
      <w:r w:rsidR="0029454F">
        <w:rPr>
          <w:rFonts w:ascii="Times New Roman" w:hAnsi="Times New Roman" w:cs="Times New Roman"/>
          <w:sz w:val="28"/>
          <w:lang w:val="en-US"/>
        </w:rPr>
        <w:t>Aerodynamics</w:t>
      </w:r>
      <w:r w:rsidR="0029454F" w:rsidRPr="0029454F">
        <w:rPr>
          <w:rFonts w:ascii="Times New Roman" w:hAnsi="Times New Roman" w:cs="Times New Roman"/>
          <w:sz w:val="28"/>
        </w:rPr>
        <w:t xml:space="preserve"> </w:t>
      </w:r>
      <w:r w:rsidR="0029454F">
        <w:rPr>
          <w:rFonts w:ascii="Times New Roman" w:hAnsi="Times New Roman" w:cs="Times New Roman"/>
          <w:sz w:val="28"/>
          <w:lang w:val="en-US"/>
        </w:rPr>
        <w:t>Centre</w:t>
      </w:r>
      <w:r w:rsidR="0029454F" w:rsidRPr="0029454F">
        <w:rPr>
          <w:rFonts w:ascii="Times New Roman" w:hAnsi="Times New Roman" w:cs="Times New Roman"/>
          <w:sz w:val="28"/>
        </w:rPr>
        <w:t>-</w:t>
      </w:r>
      <w:r w:rsidR="0029454F">
        <w:rPr>
          <w:rFonts w:ascii="Times New Roman" w:hAnsi="Times New Roman" w:cs="Times New Roman"/>
          <w:sz w:val="28"/>
          <w:lang w:val="en-US"/>
        </w:rPr>
        <w:t>UKAC</w:t>
      </w:r>
      <w:r w:rsidR="0029454F" w:rsidRPr="0029454F">
        <w:rPr>
          <w:rFonts w:ascii="Times New Roman" w:hAnsi="Times New Roman" w:cs="Times New Roman"/>
          <w:sz w:val="28"/>
        </w:rPr>
        <w:t>)</w:t>
      </w:r>
      <w:r w:rsidR="0029454F">
        <w:rPr>
          <w:rFonts w:ascii="Times New Roman" w:hAnsi="Times New Roman" w:cs="Times New Roman"/>
          <w:sz w:val="28"/>
        </w:rPr>
        <w:t xml:space="preserve"> и проведение исследовательских проектов</w:t>
      </w:r>
      <w:r w:rsidR="00C316A0">
        <w:rPr>
          <w:rFonts w:ascii="Times New Roman" w:hAnsi="Times New Roman" w:cs="Times New Roman"/>
          <w:sz w:val="28"/>
        </w:rPr>
        <w:t xml:space="preserve"> </w:t>
      </w:r>
      <w:r w:rsidR="0029454F">
        <w:rPr>
          <w:rFonts w:ascii="Times New Roman" w:hAnsi="Times New Roman" w:cs="Times New Roman"/>
          <w:sz w:val="28"/>
        </w:rPr>
        <w:t>(</w:t>
      </w:r>
      <w:r w:rsidR="0065125D">
        <w:rPr>
          <w:rFonts w:ascii="Times New Roman" w:hAnsi="Times New Roman" w:cs="Times New Roman"/>
          <w:sz w:val="28"/>
        </w:rPr>
        <w:t xml:space="preserve">число </w:t>
      </w:r>
      <w:r w:rsidR="0029454F">
        <w:rPr>
          <w:rFonts w:ascii="Times New Roman" w:hAnsi="Times New Roman" w:cs="Times New Roman"/>
          <w:sz w:val="28"/>
        </w:rPr>
        <w:t>осуществляемых в настоящее время</w:t>
      </w:r>
      <w:r w:rsidR="0065125D">
        <w:rPr>
          <w:rFonts w:ascii="Times New Roman" w:hAnsi="Times New Roman" w:cs="Times New Roman"/>
          <w:sz w:val="28"/>
        </w:rPr>
        <w:t xml:space="preserve"> составляет 13</w:t>
      </w:r>
      <w:r w:rsidR="0029454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>
        <w:rPr>
          <w:rStyle w:val="a3"/>
          <w:rFonts w:ascii="Times New Roman" w:hAnsi="Times New Roman"/>
          <w:sz w:val="28"/>
        </w:rPr>
        <w:footnoteReference w:id="50"/>
      </w:r>
      <w:r w:rsidR="00266E35" w:rsidRPr="00266E35">
        <w:rPr>
          <w:rFonts w:ascii="Times New Roman" w:hAnsi="Times New Roman" w:cs="Times New Roman"/>
          <w:sz w:val="28"/>
        </w:rPr>
        <w:t xml:space="preserve"> </w:t>
      </w:r>
      <w:r w:rsidR="00266E35">
        <w:rPr>
          <w:rFonts w:ascii="Times New Roman" w:hAnsi="Times New Roman" w:cs="Times New Roman"/>
          <w:sz w:val="28"/>
        </w:rPr>
        <w:t xml:space="preserve">Данный инновационный центр </w:t>
      </w:r>
      <w:r w:rsidR="00F74EB5">
        <w:rPr>
          <w:rFonts w:ascii="Times New Roman" w:hAnsi="Times New Roman" w:cs="Times New Roman"/>
          <w:sz w:val="28"/>
        </w:rPr>
        <w:t>призван</w:t>
      </w:r>
      <w:r w:rsidR="00266E35">
        <w:rPr>
          <w:rFonts w:ascii="Times New Roman" w:hAnsi="Times New Roman" w:cs="Times New Roman"/>
          <w:sz w:val="28"/>
        </w:rPr>
        <w:t xml:space="preserve"> поддерживать инновации в аэрокосмических технологиях</w:t>
      </w:r>
      <w:r w:rsidR="0016328A">
        <w:rPr>
          <w:rFonts w:ascii="Times New Roman" w:hAnsi="Times New Roman" w:cs="Times New Roman"/>
          <w:sz w:val="28"/>
        </w:rPr>
        <w:t xml:space="preserve">, коммерциализацию </w:t>
      </w:r>
      <w:r w:rsidR="0016328A" w:rsidRPr="00AE23A8">
        <w:rPr>
          <w:rFonts w:ascii="Times New Roman" w:hAnsi="Times New Roman" w:cs="Times New Roman"/>
          <w:sz w:val="28"/>
          <w:szCs w:val="28"/>
        </w:rPr>
        <w:t xml:space="preserve">новых идей, а также ответвлений </w:t>
      </w:r>
      <w:r w:rsidR="0016328A" w:rsidRPr="00AE23A8">
        <w:rPr>
          <w:rFonts w:ascii="Times New Roman" w:hAnsi="Times New Roman" w:cs="Times New Roman"/>
          <w:sz w:val="28"/>
          <w:szCs w:val="28"/>
        </w:rPr>
        <w:lastRenderedPageBreak/>
        <w:t xml:space="preserve">от них (т.н. спин-офф), </w:t>
      </w:r>
      <w:r w:rsidR="0016328A" w:rsidRPr="00746D4B">
        <w:rPr>
          <w:rFonts w:ascii="Times New Roman" w:hAnsi="Times New Roman" w:cs="Times New Roman"/>
          <w:sz w:val="28"/>
          <w:szCs w:val="28"/>
        </w:rPr>
        <w:t>которые могут</w:t>
      </w:r>
      <w:r w:rsidR="001719FA" w:rsidRPr="00746D4B">
        <w:rPr>
          <w:rFonts w:ascii="Times New Roman" w:hAnsi="Times New Roman" w:cs="Times New Roman"/>
          <w:sz w:val="28"/>
          <w:szCs w:val="28"/>
        </w:rPr>
        <w:t xml:space="preserve"> быть наиболее широко </w:t>
      </w:r>
      <w:r w:rsidR="0016328A" w:rsidRPr="00746D4B">
        <w:rPr>
          <w:rFonts w:ascii="Times New Roman" w:hAnsi="Times New Roman" w:cs="Times New Roman"/>
          <w:sz w:val="28"/>
          <w:szCs w:val="28"/>
        </w:rPr>
        <w:t>применены</w:t>
      </w:r>
      <w:r w:rsidR="001719FA" w:rsidRPr="00746D4B">
        <w:rPr>
          <w:rFonts w:ascii="Times New Roman" w:hAnsi="Times New Roman" w:cs="Times New Roman"/>
          <w:sz w:val="28"/>
          <w:szCs w:val="28"/>
        </w:rPr>
        <w:t xml:space="preserve"> </w:t>
      </w:r>
      <w:r w:rsidR="0016328A" w:rsidRPr="00746D4B">
        <w:rPr>
          <w:rFonts w:ascii="Times New Roman" w:hAnsi="Times New Roman" w:cs="Times New Roman"/>
          <w:sz w:val="28"/>
          <w:szCs w:val="28"/>
        </w:rPr>
        <w:t xml:space="preserve"> в других отраслях.</w:t>
      </w:r>
      <w:r w:rsidR="002D1555" w:rsidRPr="00746D4B">
        <w:rPr>
          <w:rFonts w:ascii="Times New Roman" w:hAnsi="Times New Roman" w:cs="Times New Roman"/>
          <w:sz w:val="28"/>
          <w:szCs w:val="28"/>
        </w:rPr>
        <w:t xml:space="preserve"> </w:t>
      </w:r>
      <w:r w:rsidR="00D67A90" w:rsidRPr="00746D4B">
        <w:rPr>
          <w:rFonts w:ascii="Times New Roman" w:hAnsi="Times New Roman" w:cs="Times New Roman"/>
          <w:sz w:val="28"/>
          <w:szCs w:val="28"/>
        </w:rPr>
        <w:t xml:space="preserve">Партнерство </w:t>
      </w:r>
      <w:r w:rsidR="002D1555" w:rsidRPr="00746D4B">
        <w:rPr>
          <w:rFonts w:ascii="Times New Roman" w:hAnsi="Times New Roman" w:cs="Times New Roman"/>
          <w:sz w:val="28"/>
          <w:szCs w:val="28"/>
          <w:lang w:val="en-US"/>
        </w:rPr>
        <w:t>Aerospace</w:t>
      </w:r>
      <w:r w:rsidR="002D1555" w:rsidRPr="00746D4B">
        <w:rPr>
          <w:rFonts w:ascii="Times New Roman" w:hAnsi="Times New Roman" w:cs="Times New Roman"/>
          <w:sz w:val="28"/>
          <w:szCs w:val="28"/>
        </w:rPr>
        <w:t xml:space="preserve"> </w:t>
      </w:r>
      <w:r w:rsidR="002D1555" w:rsidRPr="00746D4B"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="002D1555" w:rsidRPr="00746D4B">
        <w:rPr>
          <w:rFonts w:ascii="Times New Roman" w:hAnsi="Times New Roman" w:cs="Times New Roman"/>
          <w:sz w:val="28"/>
          <w:szCs w:val="28"/>
        </w:rPr>
        <w:t xml:space="preserve"> </w:t>
      </w:r>
      <w:r w:rsidR="002D1555" w:rsidRPr="00746D4B">
        <w:rPr>
          <w:rFonts w:ascii="Times New Roman" w:hAnsi="Times New Roman" w:cs="Times New Roman"/>
          <w:sz w:val="28"/>
          <w:szCs w:val="28"/>
          <w:lang w:val="en-US"/>
        </w:rPr>
        <w:t>Partnership</w:t>
      </w:r>
      <w:r w:rsidR="002D1555" w:rsidRPr="00746D4B">
        <w:rPr>
          <w:rFonts w:ascii="Times New Roman" w:hAnsi="Times New Roman" w:cs="Times New Roman"/>
          <w:sz w:val="28"/>
          <w:szCs w:val="28"/>
        </w:rPr>
        <w:t xml:space="preserve"> (</w:t>
      </w:r>
      <w:r w:rsidR="002D1555" w:rsidRPr="00746D4B">
        <w:rPr>
          <w:rFonts w:ascii="Times New Roman" w:hAnsi="Times New Roman" w:cs="Times New Roman"/>
          <w:sz w:val="28"/>
          <w:szCs w:val="28"/>
          <w:lang w:val="en-US"/>
        </w:rPr>
        <w:t>AGP</w:t>
      </w:r>
      <w:r w:rsidR="002D1555" w:rsidRPr="00746D4B">
        <w:rPr>
          <w:rFonts w:ascii="Times New Roman" w:hAnsi="Times New Roman" w:cs="Times New Roman"/>
          <w:sz w:val="28"/>
          <w:szCs w:val="28"/>
        </w:rPr>
        <w:t xml:space="preserve">) </w:t>
      </w:r>
      <w:r w:rsidR="00D67A90" w:rsidRPr="00746D4B">
        <w:rPr>
          <w:rFonts w:ascii="Times New Roman" w:hAnsi="Times New Roman" w:cs="Times New Roman"/>
          <w:sz w:val="28"/>
          <w:szCs w:val="28"/>
        </w:rPr>
        <w:t>играет</w:t>
      </w:r>
      <w:r w:rsidR="00D67A90" w:rsidRPr="00AE23A8">
        <w:rPr>
          <w:rFonts w:ascii="Times New Roman" w:hAnsi="Times New Roman" w:cs="Times New Roman"/>
          <w:sz w:val="28"/>
          <w:szCs w:val="28"/>
        </w:rPr>
        <w:t xml:space="preserve"> ключевую роль в данной программ</w:t>
      </w:r>
      <w:r w:rsidR="00CC0A87">
        <w:rPr>
          <w:rFonts w:ascii="Times New Roman" w:hAnsi="Times New Roman" w:cs="Times New Roman"/>
          <w:sz w:val="28"/>
          <w:szCs w:val="28"/>
        </w:rPr>
        <w:t>е</w:t>
      </w:r>
      <w:r w:rsidR="00D67A90" w:rsidRPr="00AE23A8">
        <w:rPr>
          <w:rFonts w:ascii="Times New Roman" w:hAnsi="Times New Roman" w:cs="Times New Roman"/>
          <w:sz w:val="28"/>
          <w:szCs w:val="28"/>
        </w:rPr>
        <w:t xml:space="preserve">. </w:t>
      </w:r>
      <w:r w:rsidR="007101E0">
        <w:rPr>
          <w:rFonts w:ascii="Times New Roman" w:hAnsi="Times New Roman" w:cs="Times New Roman"/>
          <w:sz w:val="28"/>
          <w:szCs w:val="28"/>
        </w:rPr>
        <w:t>Оно</w:t>
      </w:r>
      <w:r w:rsidR="00D67A90" w:rsidRPr="00AE23A8">
        <w:rPr>
          <w:rFonts w:ascii="Times New Roman" w:hAnsi="Times New Roman" w:cs="Times New Roman"/>
          <w:sz w:val="28"/>
          <w:szCs w:val="28"/>
        </w:rPr>
        <w:t xml:space="preserve"> объединяет</w:t>
      </w:r>
      <w:r w:rsidR="002D1555" w:rsidRPr="00AE23A8">
        <w:rPr>
          <w:rFonts w:ascii="Times New Roman" w:hAnsi="Times New Roman" w:cs="Times New Roman"/>
          <w:sz w:val="28"/>
          <w:szCs w:val="28"/>
        </w:rPr>
        <w:t xml:space="preserve"> </w:t>
      </w:r>
      <w:r w:rsidR="001A23B5" w:rsidRPr="00AE23A8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2D1555" w:rsidRPr="00AE23A8">
        <w:rPr>
          <w:rFonts w:ascii="Times New Roman" w:hAnsi="Times New Roman" w:cs="Times New Roman"/>
          <w:sz w:val="28"/>
          <w:szCs w:val="28"/>
        </w:rPr>
        <w:t>аэрокосмической отрасли и государства</w:t>
      </w:r>
      <w:r w:rsidR="001A23B5" w:rsidRPr="00AE23A8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2D1555" w:rsidRPr="00AE23A8">
        <w:rPr>
          <w:rFonts w:ascii="Times New Roman" w:hAnsi="Times New Roman" w:cs="Times New Roman"/>
          <w:sz w:val="28"/>
          <w:szCs w:val="28"/>
        </w:rPr>
        <w:t xml:space="preserve"> </w:t>
      </w:r>
      <w:r w:rsidR="001A23B5" w:rsidRPr="00AE23A8">
        <w:rPr>
          <w:rFonts w:ascii="Times New Roman" w:hAnsi="Times New Roman" w:cs="Times New Roman"/>
          <w:sz w:val="28"/>
          <w:szCs w:val="28"/>
        </w:rPr>
        <w:t>решения</w:t>
      </w:r>
      <w:r w:rsidR="002D1555" w:rsidRPr="00AE23A8">
        <w:rPr>
          <w:rFonts w:ascii="Times New Roman" w:hAnsi="Times New Roman" w:cs="Times New Roman"/>
          <w:sz w:val="28"/>
          <w:szCs w:val="28"/>
        </w:rPr>
        <w:t xml:space="preserve"> проблем на пути </w:t>
      </w:r>
      <w:r w:rsidR="001A23B5" w:rsidRPr="00AE23A8">
        <w:rPr>
          <w:rFonts w:ascii="Times New Roman" w:hAnsi="Times New Roman" w:cs="Times New Roman"/>
          <w:sz w:val="28"/>
          <w:szCs w:val="28"/>
        </w:rPr>
        <w:t xml:space="preserve">к росту и развитию. Подобное объединение имеет целью </w:t>
      </w:r>
      <w:r w:rsidR="002D1555" w:rsidRPr="00AE23A8">
        <w:rPr>
          <w:rFonts w:ascii="Times New Roman" w:hAnsi="Times New Roman" w:cs="Times New Roman"/>
          <w:sz w:val="28"/>
          <w:szCs w:val="28"/>
        </w:rPr>
        <w:t>стимулирова</w:t>
      </w:r>
      <w:r w:rsidR="001A23B5" w:rsidRPr="00AE23A8">
        <w:rPr>
          <w:rFonts w:ascii="Times New Roman" w:hAnsi="Times New Roman" w:cs="Times New Roman"/>
          <w:sz w:val="28"/>
          <w:szCs w:val="28"/>
        </w:rPr>
        <w:t>ние</w:t>
      </w:r>
      <w:r w:rsidR="002D1555" w:rsidRPr="00AE23A8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1A23B5" w:rsidRPr="00AE23A8">
        <w:rPr>
          <w:rFonts w:ascii="Times New Roman" w:hAnsi="Times New Roman" w:cs="Times New Roman"/>
          <w:sz w:val="28"/>
          <w:szCs w:val="28"/>
        </w:rPr>
        <w:t>а</w:t>
      </w:r>
      <w:r w:rsidR="002D1555" w:rsidRPr="00AE23A8">
        <w:rPr>
          <w:rFonts w:ascii="Times New Roman" w:hAnsi="Times New Roman" w:cs="Times New Roman"/>
          <w:sz w:val="28"/>
          <w:szCs w:val="28"/>
        </w:rPr>
        <w:t xml:space="preserve"> и созда</w:t>
      </w:r>
      <w:r w:rsidR="001A23B5" w:rsidRPr="00AE23A8">
        <w:rPr>
          <w:rFonts w:ascii="Times New Roman" w:hAnsi="Times New Roman" w:cs="Times New Roman"/>
          <w:sz w:val="28"/>
          <w:szCs w:val="28"/>
        </w:rPr>
        <w:t>ние рабочих мест</w:t>
      </w:r>
      <w:r w:rsidR="002D1555" w:rsidRPr="00AE23A8">
        <w:rPr>
          <w:rFonts w:ascii="Times New Roman" w:hAnsi="Times New Roman" w:cs="Times New Roman"/>
          <w:sz w:val="28"/>
          <w:szCs w:val="28"/>
        </w:rPr>
        <w:t xml:space="preserve"> для высококвалифицированных специалистов</w:t>
      </w:r>
      <w:r w:rsidR="00872436" w:rsidRPr="00AE23A8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2D1555" w:rsidRPr="00AE23A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4358C" w:rsidRPr="000E381F" w:rsidRDefault="00E76679" w:rsidP="000E381F">
      <w:pPr>
        <w:tabs>
          <w:tab w:val="left" w:pos="4153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 занимает первое место в Европе и второе место в мире</w:t>
      </w:r>
      <w:r w:rsidR="00E32F60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осле США, по </w:t>
      </w:r>
      <w:r w:rsidR="00E32F60">
        <w:rPr>
          <w:rFonts w:ascii="Times New Roman" w:hAnsi="Times New Roman" w:cs="Times New Roman"/>
          <w:sz w:val="28"/>
          <w:szCs w:val="28"/>
        </w:rPr>
        <w:t>технологическим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 в производстве двигателей, крыльев, авиационных комплексов и конструкций.</w:t>
      </w:r>
      <w:r>
        <w:rPr>
          <w:rStyle w:val="a3"/>
          <w:rFonts w:ascii="Times New Roman" w:hAnsi="Times New Roman"/>
          <w:sz w:val="28"/>
          <w:szCs w:val="28"/>
        </w:rPr>
        <w:footnoteReference w:id="51"/>
      </w:r>
      <w:r w:rsidR="00622A1E">
        <w:rPr>
          <w:rFonts w:ascii="Times New Roman" w:hAnsi="Times New Roman" w:cs="Times New Roman"/>
          <w:sz w:val="28"/>
          <w:szCs w:val="28"/>
        </w:rPr>
        <w:t xml:space="preserve"> </w:t>
      </w:r>
      <w:r w:rsidR="00AE23A8" w:rsidRPr="00AE23A8">
        <w:rPr>
          <w:rFonts w:ascii="Times New Roman" w:hAnsi="Times New Roman" w:cs="Times New Roman"/>
          <w:sz w:val="28"/>
          <w:szCs w:val="28"/>
        </w:rPr>
        <w:t>Согласно</w:t>
      </w:r>
      <w:r w:rsidR="00AE23A8">
        <w:rPr>
          <w:rFonts w:ascii="Times New Roman" w:hAnsi="Times New Roman" w:cs="Times New Roman"/>
          <w:sz w:val="28"/>
          <w:szCs w:val="28"/>
        </w:rPr>
        <w:t xml:space="preserve"> </w:t>
      </w:r>
      <w:r w:rsidR="0012072B">
        <w:rPr>
          <w:rFonts w:ascii="Times New Roman" w:hAnsi="Times New Roman" w:cs="Times New Roman"/>
          <w:sz w:val="28"/>
          <w:szCs w:val="28"/>
        </w:rPr>
        <w:t xml:space="preserve">прогнозам </w:t>
      </w:r>
      <w:r w:rsidR="003E4829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12072B">
        <w:rPr>
          <w:rFonts w:ascii="Times New Roman" w:hAnsi="Times New Roman" w:cs="Times New Roman"/>
          <w:sz w:val="28"/>
          <w:szCs w:val="28"/>
        </w:rPr>
        <w:t xml:space="preserve">рынка, </w:t>
      </w:r>
      <w:r w:rsidR="003E4829">
        <w:rPr>
          <w:rFonts w:ascii="Times New Roman" w:hAnsi="Times New Roman" w:cs="Times New Roman"/>
          <w:sz w:val="28"/>
          <w:szCs w:val="28"/>
        </w:rPr>
        <w:t>если Великобритания отрасль будет сохранять 17% долю на</w:t>
      </w:r>
      <w:r w:rsidR="0012684F">
        <w:rPr>
          <w:rFonts w:ascii="Times New Roman" w:hAnsi="Times New Roman" w:cs="Times New Roman"/>
          <w:sz w:val="28"/>
          <w:szCs w:val="28"/>
        </w:rPr>
        <w:t xml:space="preserve"> мировом</w:t>
      </w:r>
      <w:r w:rsidR="003E4829">
        <w:rPr>
          <w:rFonts w:ascii="Times New Roman" w:hAnsi="Times New Roman" w:cs="Times New Roman"/>
          <w:sz w:val="28"/>
          <w:szCs w:val="28"/>
        </w:rPr>
        <w:t xml:space="preserve"> аэрокосмическом рынке, то  </w:t>
      </w:r>
      <w:r w:rsidR="00622A1E">
        <w:rPr>
          <w:rFonts w:ascii="Times New Roman" w:hAnsi="Times New Roman" w:cs="Times New Roman"/>
          <w:sz w:val="28"/>
          <w:szCs w:val="28"/>
        </w:rPr>
        <w:t>в период 2020-2013 г</w:t>
      </w:r>
      <w:r w:rsidR="0012072B">
        <w:rPr>
          <w:rFonts w:ascii="Times New Roman" w:hAnsi="Times New Roman" w:cs="Times New Roman"/>
          <w:sz w:val="28"/>
          <w:szCs w:val="28"/>
        </w:rPr>
        <w:t xml:space="preserve">г. </w:t>
      </w:r>
      <w:r w:rsidR="007563C1">
        <w:rPr>
          <w:rFonts w:ascii="Times New Roman" w:hAnsi="Times New Roman" w:cs="Times New Roman"/>
          <w:sz w:val="28"/>
          <w:szCs w:val="28"/>
        </w:rPr>
        <w:t xml:space="preserve">в </w:t>
      </w:r>
      <w:r w:rsidR="00E27420">
        <w:rPr>
          <w:rFonts w:ascii="Times New Roman" w:hAnsi="Times New Roman" w:cs="Times New Roman"/>
          <w:sz w:val="28"/>
          <w:szCs w:val="28"/>
        </w:rPr>
        <w:t>данн</w:t>
      </w:r>
      <w:r w:rsidR="007563C1">
        <w:rPr>
          <w:rFonts w:ascii="Times New Roman" w:hAnsi="Times New Roman" w:cs="Times New Roman"/>
          <w:sz w:val="28"/>
          <w:szCs w:val="28"/>
        </w:rPr>
        <w:t xml:space="preserve">ом </w:t>
      </w:r>
      <w:r w:rsidR="007563C1" w:rsidRPr="007563C1">
        <w:rPr>
          <w:rFonts w:ascii="Times New Roman" w:hAnsi="Times New Roman" w:cs="Times New Roman"/>
          <w:color w:val="auto"/>
          <w:sz w:val="28"/>
          <w:szCs w:val="28"/>
        </w:rPr>
        <w:t xml:space="preserve">секторе будет сосредоточено </w:t>
      </w:r>
      <w:r w:rsidR="00B4358C" w:rsidRPr="007563C1">
        <w:rPr>
          <w:rFonts w:ascii="Times New Roman" w:hAnsi="Times New Roman" w:cs="Times New Roman"/>
          <w:color w:val="auto"/>
          <w:sz w:val="28"/>
          <w:szCs w:val="28"/>
        </w:rPr>
        <w:t>352 млрд. фунтов</w:t>
      </w:r>
      <w:r w:rsidR="000B1872" w:rsidRPr="007563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E38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0F6" w:rsidRPr="007563C1">
        <w:rPr>
          <w:rFonts w:ascii="Times New Roman" w:hAnsi="Times New Roman" w:cs="Times New Roman"/>
          <w:color w:val="auto"/>
          <w:sz w:val="28"/>
          <w:szCs w:val="28"/>
        </w:rPr>
        <w:t>На настоящий момент число занятых в аэрокосмической</w:t>
      </w:r>
      <w:r w:rsidR="006D60F6" w:rsidRPr="00F7075F">
        <w:rPr>
          <w:rFonts w:ascii="Times New Roman" w:hAnsi="Times New Roman" w:cs="Times New Roman"/>
          <w:sz w:val="28"/>
          <w:szCs w:val="28"/>
        </w:rPr>
        <w:t xml:space="preserve"> отрасли в Британии составляет 100, 000 человек, и вклад</w:t>
      </w:r>
      <w:r w:rsidR="00B4358C" w:rsidRPr="00F7075F">
        <w:rPr>
          <w:rFonts w:ascii="Times New Roman" w:hAnsi="Times New Roman" w:cs="Times New Roman"/>
          <w:sz w:val="28"/>
          <w:szCs w:val="28"/>
        </w:rPr>
        <w:t xml:space="preserve"> отрасли в развитие экономики</w:t>
      </w:r>
      <w:r w:rsidR="00BD6C79" w:rsidRPr="00F7075F">
        <w:rPr>
          <w:rFonts w:ascii="Times New Roman" w:hAnsi="Times New Roman" w:cs="Times New Roman"/>
          <w:sz w:val="28"/>
          <w:szCs w:val="28"/>
        </w:rPr>
        <w:t xml:space="preserve"> Великобритании оценивается в 24,2</w:t>
      </w:r>
      <w:r w:rsidR="00B4358C" w:rsidRPr="00F7075F">
        <w:rPr>
          <w:rFonts w:ascii="Times New Roman" w:hAnsi="Times New Roman" w:cs="Times New Roman"/>
          <w:sz w:val="28"/>
          <w:szCs w:val="28"/>
        </w:rPr>
        <w:t xml:space="preserve"> млрд. фунтов</w:t>
      </w:r>
      <w:r w:rsidR="0087553B" w:rsidRPr="00F7075F">
        <w:rPr>
          <w:rFonts w:ascii="Times New Roman" w:hAnsi="Times New Roman" w:cs="Times New Roman"/>
          <w:sz w:val="28"/>
          <w:szCs w:val="28"/>
        </w:rPr>
        <w:t>.</w:t>
      </w:r>
      <w:r w:rsidR="005A037A" w:rsidRPr="00F7075F">
        <w:rPr>
          <w:rStyle w:val="a3"/>
          <w:rFonts w:ascii="Times New Roman" w:hAnsi="Times New Roman"/>
          <w:sz w:val="28"/>
          <w:szCs w:val="28"/>
        </w:rPr>
        <w:footnoteReference w:id="52"/>
      </w:r>
      <w:r w:rsidR="0087553B" w:rsidRPr="00F7075F">
        <w:rPr>
          <w:rFonts w:ascii="Times New Roman" w:hAnsi="Times New Roman" w:cs="Times New Roman"/>
          <w:sz w:val="28"/>
          <w:szCs w:val="28"/>
        </w:rPr>
        <w:t xml:space="preserve"> Прогнозы указывают на то, что доля данного сектора в м</w:t>
      </w:r>
      <w:r w:rsidR="00894746">
        <w:rPr>
          <w:rFonts w:ascii="Times New Roman" w:hAnsi="Times New Roman" w:cs="Times New Roman"/>
          <w:sz w:val="28"/>
          <w:szCs w:val="28"/>
        </w:rPr>
        <w:t>ировом рынке будет расширяться.</w:t>
      </w:r>
      <w:r w:rsidR="00ED5C6B" w:rsidRPr="00F7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A2" w:rsidRPr="002A29FC" w:rsidRDefault="00F7075F" w:rsidP="003C43D1">
      <w:pPr>
        <w:tabs>
          <w:tab w:val="left" w:pos="4153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75F">
        <w:rPr>
          <w:rFonts w:ascii="Times New Roman" w:hAnsi="Times New Roman" w:cs="Times New Roman"/>
          <w:sz w:val="28"/>
          <w:szCs w:val="28"/>
        </w:rPr>
        <w:t xml:space="preserve">Другой проект, который получил </w:t>
      </w:r>
      <w:r w:rsidR="008F5FBD">
        <w:rPr>
          <w:rFonts w:ascii="Times New Roman" w:hAnsi="Times New Roman" w:cs="Times New Roman"/>
          <w:sz w:val="28"/>
          <w:szCs w:val="28"/>
        </w:rPr>
        <w:t xml:space="preserve">особую </w:t>
      </w:r>
      <w:r w:rsidRPr="00F7075F">
        <w:rPr>
          <w:rFonts w:ascii="Times New Roman" w:hAnsi="Times New Roman" w:cs="Times New Roman"/>
          <w:sz w:val="28"/>
          <w:szCs w:val="28"/>
        </w:rPr>
        <w:t xml:space="preserve">поддержку со стороны </w:t>
      </w:r>
      <w:r w:rsidR="0051114D">
        <w:rPr>
          <w:rFonts w:ascii="Times New Roman" w:hAnsi="Times New Roman" w:cs="Times New Roman"/>
          <w:sz w:val="28"/>
          <w:szCs w:val="28"/>
        </w:rPr>
        <w:t xml:space="preserve">правительства и </w:t>
      </w:r>
      <w:r w:rsidRPr="004209BC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Pr="004209BC">
        <w:rPr>
          <w:rFonts w:ascii="Times New Roman" w:hAnsi="Times New Roman" w:cs="Times New Roman"/>
          <w:sz w:val="28"/>
          <w:szCs w:val="28"/>
        </w:rPr>
        <w:t xml:space="preserve"> – это кластер Лондон Тек</w:t>
      </w:r>
      <w:r w:rsidR="002743F4">
        <w:rPr>
          <w:rFonts w:ascii="Times New Roman" w:hAnsi="Times New Roman" w:cs="Times New Roman"/>
          <w:sz w:val="28"/>
          <w:szCs w:val="28"/>
        </w:rPr>
        <w:t xml:space="preserve"> </w:t>
      </w:r>
      <w:r w:rsidRPr="004209BC">
        <w:rPr>
          <w:rFonts w:ascii="Times New Roman" w:hAnsi="Times New Roman" w:cs="Times New Roman"/>
          <w:sz w:val="28"/>
          <w:szCs w:val="28"/>
        </w:rPr>
        <w:t>Сити (</w:t>
      </w:r>
      <w:r w:rsidRPr="004209BC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4209BC">
        <w:rPr>
          <w:rFonts w:ascii="Times New Roman" w:hAnsi="Times New Roman" w:cs="Times New Roman"/>
          <w:sz w:val="28"/>
          <w:szCs w:val="28"/>
        </w:rPr>
        <w:t xml:space="preserve"> </w:t>
      </w:r>
      <w:r w:rsidRPr="004209BC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4209BC">
        <w:rPr>
          <w:rFonts w:ascii="Times New Roman" w:hAnsi="Times New Roman" w:cs="Times New Roman"/>
          <w:sz w:val="28"/>
          <w:szCs w:val="28"/>
        </w:rPr>
        <w:t xml:space="preserve"> </w:t>
      </w:r>
      <w:r w:rsidRPr="004209B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4209BC">
        <w:rPr>
          <w:rFonts w:ascii="Times New Roman" w:hAnsi="Times New Roman" w:cs="Times New Roman"/>
          <w:sz w:val="28"/>
          <w:szCs w:val="28"/>
        </w:rPr>
        <w:t>)</w:t>
      </w:r>
      <w:r w:rsidR="00026E34">
        <w:rPr>
          <w:rFonts w:ascii="Times New Roman" w:hAnsi="Times New Roman" w:cs="Times New Roman"/>
          <w:sz w:val="28"/>
          <w:szCs w:val="28"/>
        </w:rPr>
        <w:t xml:space="preserve"> в ноябре 2010 г</w:t>
      </w:r>
      <w:r w:rsidR="008F5FBD" w:rsidRPr="004209BC">
        <w:rPr>
          <w:rFonts w:ascii="Times New Roman" w:hAnsi="Times New Roman" w:cs="Times New Roman"/>
          <w:sz w:val="28"/>
          <w:szCs w:val="28"/>
        </w:rPr>
        <w:t>. Нес</w:t>
      </w:r>
      <w:r w:rsidR="008A2E9B" w:rsidRPr="004209BC">
        <w:rPr>
          <w:rFonts w:ascii="Times New Roman" w:hAnsi="Times New Roman" w:cs="Times New Roman"/>
          <w:sz w:val="28"/>
          <w:szCs w:val="28"/>
        </w:rPr>
        <w:t>мотря на то, что данное учреждение не является одним из инновационных центров</w:t>
      </w:r>
      <w:r w:rsidR="008F5FBD" w:rsidRPr="004209BC">
        <w:rPr>
          <w:rFonts w:ascii="Times New Roman" w:hAnsi="Times New Roman" w:cs="Times New Roman"/>
          <w:sz w:val="28"/>
          <w:szCs w:val="28"/>
        </w:rPr>
        <w:t xml:space="preserve">, были осуществлены финансирования, в частности. 2 млн. фунтов на </w:t>
      </w:r>
      <w:r w:rsidR="006E2A34">
        <w:rPr>
          <w:rFonts w:ascii="Times New Roman" w:hAnsi="Times New Roman" w:cs="Times New Roman"/>
          <w:sz w:val="28"/>
          <w:szCs w:val="28"/>
        </w:rPr>
        <w:t xml:space="preserve">инициативу </w:t>
      </w:r>
      <w:r w:rsidR="008F5FBD" w:rsidRPr="004209BC">
        <w:rPr>
          <w:rFonts w:ascii="Times New Roman" w:hAnsi="Times New Roman" w:cs="Times New Roman"/>
          <w:sz w:val="28"/>
          <w:szCs w:val="28"/>
          <w:lang w:val="en-US"/>
        </w:rPr>
        <w:t>Launchpad</w:t>
      </w:r>
      <w:r w:rsidR="008F5FBD" w:rsidRPr="004209BC">
        <w:rPr>
          <w:rFonts w:ascii="Times New Roman" w:hAnsi="Times New Roman" w:cs="Times New Roman"/>
          <w:sz w:val="28"/>
          <w:szCs w:val="28"/>
        </w:rPr>
        <w:t xml:space="preserve"> </w:t>
      </w:r>
      <w:r w:rsidR="008F5FBD" w:rsidRPr="004209BC">
        <w:rPr>
          <w:rFonts w:ascii="Times New Roman" w:hAnsi="Times New Roman" w:cs="Times New Roman"/>
          <w:sz w:val="28"/>
          <w:szCs w:val="28"/>
          <w:lang w:val="en-US"/>
        </w:rPr>
        <w:t>completion</w:t>
      </w:r>
      <w:r w:rsidR="008F5FBD" w:rsidRPr="004209BC">
        <w:rPr>
          <w:rFonts w:ascii="Times New Roman" w:hAnsi="Times New Roman" w:cs="Times New Roman"/>
          <w:sz w:val="28"/>
          <w:szCs w:val="28"/>
        </w:rPr>
        <w:t xml:space="preserve"> для поддержания разработки цифровых товаров</w:t>
      </w:r>
      <w:r w:rsidR="00AD57A3" w:rsidRPr="004209BC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8F5FBD" w:rsidRPr="004209BC">
        <w:rPr>
          <w:rFonts w:ascii="Times New Roman" w:hAnsi="Times New Roman" w:cs="Times New Roman"/>
          <w:sz w:val="28"/>
          <w:szCs w:val="28"/>
        </w:rPr>
        <w:t xml:space="preserve"> малыми предприятиями</w:t>
      </w:r>
      <w:r w:rsidR="00AD57A3" w:rsidRPr="004209BC">
        <w:rPr>
          <w:rFonts w:ascii="Times New Roman" w:hAnsi="Times New Roman" w:cs="Times New Roman"/>
          <w:sz w:val="28"/>
          <w:szCs w:val="28"/>
        </w:rPr>
        <w:t>.</w:t>
      </w:r>
      <w:r w:rsidR="00AD57A3" w:rsidRPr="004209BC">
        <w:rPr>
          <w:rStyle w:val="a3"/>
          <w:rFonts w:ascii="Times New Roman" w:hAnsi="Times New Roman"/>
          <w:sz w:val="28"/>
          <w:szCs w:val="28"/>
        </w:rPr>
        <w:footnoteReference w:id="53"/>
      </w:r>
      <w:r w:rsidR="002743F4">
        <w:rPr>
          <w:rFonts w:ascii="Times New Roman" w:hAnsi="Times New Roman" w:cs="Times New Roman"/>
          <w:sz w:val="28"/>
          <w:szCs w:val="28"/>
        </w:rPr>
        <w:t xml:space="preserve"> Инновационному кластеру уделялось особое внимание с начала </w:t>
      </w:r>
      <w:r w:rsidR="008B37A2">
        <w:rPr>
          <w:rFonts w:ascii="Times New Roman" w:hAnsi="Times New Roman" w:cs="Times New Roman"/>
          <w:sz w:val="28"/>
          <w:szCs w:val="28"/>
        </w:rPr>
        <w:t>действия коалиционного правительства Великобритании.</w:t>
      </w:r>
      <w:r w:rsidR="00026E34">
        <w:rPr>
          <w:rFonts w:ascii="Times New Roman" w:hAnsi="Times New Roman" w:cs="Times New Roman"/>
          <w:sz w:val="28"/>
          <w:szCs w:val="28"/>
        </w:rPr>
        <w:t xml:space="preserve"> Дэвид Кэмерон подчеркнул намерения правительства осуществлять долгосрочные</w:t>
      </w:r>
      <w:r w:rsidR="001A24BA">
        <w:rPr>
          <w:rFonts w:ascii="Times New Roman" w:hAnsi="Times New Roman" w:cs="Times New Roman"/>
          <w:sz w:val="28"/>
          <w:szCs w:val="28"/>
        </w:rPr>
        <w:t xml:space="preserve"> капиталовложения</w:t>
      </w:r>
      <w:r w:rsidR="00026E34">
        <w:rPr>
          <w:rFonts w:ascii="Times New Roman" w:hAnsi="Times New Roman" w:cs="Times New Roman"/>
          <w:sz w:val="28"/>
          <w:szCs w:val="28"/>
        </w:rPr>
        <w:t xml:space="preserve"> </w:t>
      </w:r>
      <w:r w:rsidR="00F22737">
        <w:rPr>
          <w:rFonts w:ascii="Times New Roman" w:hAnsi="Times New Roman" w:cs="Times New Roman"/>
          <w:sz w:val="28"/>
          <w:szCs w:val="28"/>
        </w:rPr>
        <w:t>в бизнес с целью создания наиболее благоприятных условий для осуществления венчурных инвестиций.</w:t>
      </w:r>
      <w:r w:rsidR="00C07B06">
        <w:rPr>
          <w:rFonts w:ascii="Times New Roman" w:hAnsi="Times New Roman" w:cs="Times New Roman"/>
          <w:sz w:val="28"/>
          <w:szCs w:val="28"/>
        </w:rPr>
        <w:t xml:space="preserve"> </w:t>
      </w:r>
      <w:r w:rsidR="003C43D1">
        <w:rPr>
          <w:rFonts w:ascii="Times New Roman" w:hAnsi="Times New Roman" w:cs="Times New Roman"/>
          <w:sz w:val="28"/>
          <w:szCs w:val="28"/>
        </w:rPr>
        <w:t xml:space="preserve">Премьер-министр считает, что в будущем рост экономики Британии будет в большей степени зависеть от технологий и инноваций, отодвигая на задний план </w:t>
      </w:r>
      <w:r w:rsidR="007C5026">
        <w:rPr>
          <w:rFonts w:ascii="Times New Roman" w:hAnsi="Times New Roman" w:cs="Times New Roman"/>
          <w:sz w:val="28"/>
          <w:szCs w:val="28"/>
        </w:rPr>
        <w:t>сектор финансовых услуг</w:t>
      </w:r>
      <w:r w:rsidR="003C43D1">
        <w:rPr>
          <w:rFonts w:ascii="Times New Roman" w:hAnsi="Times New Roman" w:cs="Times New Roman"/>
          <w:sz w:val="28"/>
          <w:szCs w:val="28"/>
        </w:rPr>
        <w:t>.</w:t>
      </w:r>
      <w:r w:rsidR="00133541">
        <w:rPr>
          <w:rFonts w:ascii="Times New Roman" w:hAnsi="Times New Roman" w:cs="Times New Roman"/>
          <w:sz w:val="28"/>
          <w:szCs w:val="28"/>
        </w:rPr>
        <w:t xml:space="preserve"> Главными двигателями программы Тек Сити являются две </w:t>
      </w:r>
      <w:r w:rsidR="001335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Первая – Инвестиционная Организация Тек Сити, которую возглавляет бывший вице-президент </w:t>
      </w:r>
      <w:r w:rsidR="0013354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33541" w:rsidRPr="00133541">
        <w:rPr>
          <w:rFonts w:ascii="Times New Roman" w:hAnsi="Times New Roman" w:cs="Times New Roman"/>
          <w:sz w:val="28"/>
          <w:szCs w:val="28"/>
        </w:rPr>
        <w:t>,</w:t>
      </w:r>
      <w:r w:rsidR="00133541">
        <w:rPr>
          <w:rFonts w:ascii="Times New Roman" w:hAnsi="Times New Roman" w:cs="Times New Roman"/>
          <w:sz w:val="28"/>
          <w:szCs w:val="28"/>
        </w:rPr>
        <w:t xml:space="preserve"> Джоанна Шилдс, ответственна за консультирование стартапов и установление связей с потенциальными спонсорами.</w:t>
      </w:r>
      <w:r w:rsidR="002A29FC">
        <w:rPr>
          <w:rFonts w:ascii="Times New Roman" w:hAnsi="Times New Roman" w:cs="Times New Roman"/>
          <w:sz w:val="28"/>
          <w:szCs w:val="28"/>
        </w:rPr>
        <w:t xml:space="preserve"> Другой организацией является </w:t>
      </w:r>
      <w:r w:rsidR="002A29FC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2A29FC">
        <w:rPr>
          <w:rFonts w:ascii="Times New Roman" w:hAnsi="Times New Roman" w:cs="Times New Roman"/>
          <w:sz w:val="28"/>
          <w:szCs w:val="28"/>
        </w:rPr>
        <w:t xml:space="preserve">, которая ответственна за </w:t>
      </w:r>
      <w:r w:rsidR="002072DE">
        <w:rPr>
          <w:rFonts w:ascii="Times New Roman" w:hAnsi="Times New Roman" w:cs="Times New Roman"/>
          <w:sz w:val="28"/>
          <w:szCs w:val="28"/>
        </w:rPr>
        <w:t>инвестирование средств на</w:t>
      </w:r>
      <w:r w:rsidR="001C4FA5">
        <w:rPr>
          <w:rFonts w:ascii="Times New Roman" w:hAnsi="Times New Roman" w:cs="Times New Roman"/>
          <w:sz w:val="28"/>
          <w:szCs w:val="28"/>
        </w:rPr>
        <w:t>логоплательщиков в многообещающие технологические компании.</w:t>
      </w:r>
    </w:p>
    <w:p w:rsidR="004F2028" w:rsidRDefault="00040F86" w:rsidP="001F2040">
      <w:pPr>
        <w:tabs>
          <w:tab w:val="left" w:pos="4153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9BC">
        <w:rPr>
          <w:rFonts w:ascii="Times New Roman" w:hAnsi="Times New Roman" w:cs="Times New Roman"/>
          <w:sz w:val="28"/>
          <w:szCs w:val="28"/>
        </w:rPr>
        <w:t xml:space="preserve"> </w:t>
      </w:r>
      <w:r w:rsidR="000B48E9">
        <w:rPr>
          <w:rFonts w:ascii="Times New Roman" w:hAnsi="Times New Roman" w:cs="Times New Roman"/>
          <w:sz w:val="28"/>
          <w:szCs w:val="28"/>
        </w:rPr>
        <w:t>Белфаст, Бирмингем,</w:t>
      </w:r>
      <w:r w:rsidR="004209BC" w:rsidRPr="004209BC">
        <w:rPr>
          <w:rFonts w:ascii="Times New Roman" w:hAnsi="Times New Roman" w:cs="Times New Roman"/>
          <w:sz w:val="28"/>
          <w:szCs w:val="28"/>
        </w:rPr>
        <w:t xml:space="preserve"> </w:t>
      </w:r>
      <w:r w:rsidR="000B48E9" w:rsidRPr="004209BC">
        <w:rPr>
          <w:rFonts w:ascii="Times New Roman" w:hAnsi="Times New Roman" w:cs="Times New Roman"/>
          <w:sz w:val="28"/>
          <w:szCs w:val="28"/>
        </w:rPr>
        <w:t>Бредфорд</w:t>
      </w:r>
      <w:r w:rsidR="004209BC" w:rsidRPr="004209BC">
        <w:rPr>
          <w:rFonts w:ascii="Times New Roman" w:hAnsi="Times New Roman" w:cs="Times New Roman"/>
          <w:sz w:val="28"/>
          <w:szCs w:val="28"/>
        </w:rPr>
        <w:t>. Бристоль, Кардифф, Эдинбург, Лидс</w:t>
      </w:r>
      <w:r w:rsidR="007F7719">
        <w:rPr>
          <w:rFonts w:ascii="Times New Roman" w:hAnsi="Times New Roman" w:cs="Times New Roman"/>
          <w:sz w:val="28"/>
          <w:szCs w:val="28"/>
        </w:rPr>
        <w:t xml:space="preserve">, </w:t>
      </w:r>
      <w:r w:rsidR="004209BC" w:rsidRPr="004209BC">
        <w:rPr>
          <w:rFonts w:ascii="Times New Roman" w:hAnsi="Times New Roman" w:cs="Times New Roman"/>
          <w:sz w:val="28"/>
          <w:szCs w:val="28"/>
        </w:rPr>
        <w:t>Лондон, Манчестер</w:t>
      </w:r>
      <w:r w:rsidR="004209BC">
        <w:rPr>
          <w:rFonts w:ascii="Times New Roman" w:hAnsi="Times New Roman" w:cs="Times New Roman"/>
          <w:sz w:val="28"/>
          <w:szCs w:val="28"/>
        </w:rPr>
        <w:t xml:space="preserve"> и Ньюкасл</w:t>
      </w:r>
      <w:r w:rsidR="00C519CA">
        <w:rPr>
          <w:rFonts w:ascii="Times New Roman" w:hAnsi="Times New Roman" w:cs="Times New Roman"/>
          <w:sz w:val="28"/>
          <w:szCs w:val="28"/>
        </w:rPr>
        <w:t xml:space="preserve"> – </w:t>
      </w:r>
      <w:r w:rsidR="00A51287">
        <w:rPr>
          <w:rFonts w:ascii="Times New Roman" w:hAnsi="Times New Roman" w:cs="Times New Roman"/>
          <w:sz w:val="28"/>
          <w:szCs w:val="28"/>
        </w:rPr>
        <w:t>эти</w:t>
      </w:r>
      <w:r w:rsidR="007F7719">
        <w:rPr>
          <w:rFonts w:ascii="Times New Roman" w:hAnsi="Times New Roman" w:cs="Times New Roman"/>
          <w:sz w:val="28"/>
          <w:szCs w:val="28"/>
        </w:rPr>
        <w:t xml:space="preserve"> 10 городов </w:t>
      </w:r>
      <w:r w:rsidR="00A51287">
        <w:rPr>
          <w:rFonts w:ascii="Times New Roman" w:hAnsi="Times New Roman" w:cs="Times New Roman"/>
          <w:sz w:val="28"/>
          <w:szCs w:val="28"/>
        </w:rPr>
        <w:t xml:space="preserve">были выбраны для </w:t>
      </w:r>
      <w:r w:rsidR="007F7719">
        <w:rPr>
          <w:rFonts w:ascii="Times New Roman" w:hAnsi="Times New Roman" w:cs="Times New Roman"/>
          <w:sz w:val="28"/>
          <w:szCs w:val="28"/>
        </w:rPr>
        <w:t>реализации</w:t>
      </w:r>
      <w:r w:rsidR="00A5128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F7719">
        <w:rPr>
          <w:rFonts w:ascii="Times New Roman" w:hAnsi="Times New Roman" w:cs="Times New Roman"/>
          <w:sz w:val="28"/>
          <w:szCs w:val="28"/>
        </w:rPr>
        <w:t xml:space="preserve"> </w:t>
      </w:r>
      <w:r w:rsidR="00D07F28">
        <w:rPr>
          <w:rFonts w:ascii="Times New Roman" w:hAnsi="Times New Roman" w:cs="Times New Roman"/>
          <w:sz w:val="28"/>
          <w:szCs w:val="28"/>
        </w:rPr>
        <w:t>широкополосной сети.</w:t>
      </w:r>
      <w:r w:rsidR="005856A9">
        <w:rPr>
          <w:rStyle w:val="a3"/>
          <w:rFonts w:ascii="Times New Roman" w:hAnsi="Times New Roman"/>
          <w:sz w:val="28"/>
          <w:szCs w:val="28"/>
        </w:rPr>
        <w:footnoteReference w:id="54"/>
      </w:r>
      <w:r w:rsidR="00D8400F">
        <w:rPr>
          <w:rFonts w:ascii="Times New Roman" w:hAnsi="Times New Roman" w:cs="Times New Roman"/>
          <w:sz w:val="28"/>
          <w:szCs w:val="28"/>
        </w:rPr>
        <w:t xml:space="preserve"> </w:t>
      </w:r>
      <w:r w:rsidR="007F7719">
        <w:rPr>
          <w:rFonts w:ascii="Times New Roman" w:hAnsi="Times New Roman" w:cs="Times New Roman"/>
          <w:sz w:val="28"/>
          <w:szCs w:val="28"/>
        </w:rPr>
        <w:t xml:space="preserve">В 2011 правительство Великобритании выделило 100 млн. фунтов на поддержку Фонда Городской </w:t>
      </w:r>
      <w:r w:rsidR="00CC32D9">
        <w:rPr>
          <w:rFonts w:ascii="Times New Roman" w:hAnsi="Times New Roman" w:cs="Times New Roman"/>
          <w:sz w:val="28"/>
          <w:szCs w:val="28"/>
        </w:rPr>
        <w:t xml:space="preserve">Сети – </w:t>
      </w:r>
      <w:r w:rsidR="007F7719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="007F7719" w:rsidRPr="005856A9">
        <w:rPr>
          <w:rFonts w:ascii="Times New Roman" w:hAnsi="Times New Roman" w:cs="Times New Roman"/>
          <w:sz w:val="28"/>
          <w:szCs w:val="28"/>
        </w:rPr>
        <w:t xml:space="preserve"> </w:t>
      </w:r>
      <w:r w:rsidR="007F7719">
        <w:rPr>
          <w:rFonts w:ascii="Times New Roman" w:hAnsi="Times New Roman" w:cs="Times New Roman"/>
          <w:sz w:val="28"/>
          <w:szCs w:val="28"/>
          <w:lang w:val="en-US"/>
        </w:rPr>
        <w:t>Broadband</w:t>
      </w:r>
      <w:r w:rsidR="007F7719" w:rsidRPr="005856A9">
        <w:rPr>
          <w:rFonts w:ascii="Times New Roman" w:hAnsi="Times New Roman" w:cs="Times New Roman"/>
          <w:sz w:val="28"/>
          <w:szCs w:val="28"/>
        </w:rPr>
        <w:t xml:space="preserve"> </w:t>
      </w:r>
      <w:r w:rsidR="007F7719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="007F7719" w:rsidRPr="005856A9">
        <w:rPr>
          <w:rFonts w:ascii="Times New Roman" w:hAnsi="Times New Roman" w:cs="Times New Roman"/>
          <w:sz w:val="28"/>
          <w:szCs w:val="28"/>
        </w:rPr>
        <w:t xml:space="preserve"> (</w:t>
      </w:r>
      <w:r w:rsidR="007F7719">
        <w:rPr>
          <w:rFonts w:ascii="Times New Roman" w:hAnsi="Times New Roman" w:cs="Times New Roman"/>
          <w:sz w:val="28"/>
          <w:szCs w:val="28"/>
          <w:lang w:val="en-US"/>
        </w:rPr>
        <w:t>UBF</w:t>
      </w:r>
      <w:r w:rsidR="007F7719" w:rsidRPr="005856A9">
        <w:rPr>
          <w:rFonts w:ascii="Times New Roman" w:hAnsi="Times New Roman" w:cs="Times New Roman"/>
          <w:sz w:val="28"/>
          <w:szCs w:val="28"/>
        </w:rPr>
        <w:t>)</w:t>
      </w:r>
      <w:r w:rsidR="001564D5">
        <w:rPr>
          <w:rFonts w:ascii="Times New Roman" w:hAnsi="Times New Roman" w:cs="Times New Roman"/>
          <w:sz w:val="28"/>
          <w:szCs w:val="28"/>
        </w:rPr>
        <w:t>, который отвечает за осуществление данной программы.</w:t>
      </w:r>
      <w:r w:rsidR="00833990">
        <w:rPr>
          <w:rFonts w:ascii="Times New Roman" w:hAnsi="Times New Roman" w:cs="Times New Roman"/>
          <w:sz w:val="28"/>
          <w:szCs w:val="28"/>
        </w:rPr>
        <w:t xml:space="preserve"> </w:t>
      </w:r>
      <w:r w:rsidR="00833990" w:rsidRPr="009B6FC7">
        <w:rPr>
          <w:rFonts w:ascii="Times New Roman" w:hAnsi="Times New Roman" w:cs="Times New Roman"/>
          <w:color w:val="auto"/>
          <w:sz w:val="28"/>
          <w:szCs w:val="28"/>
        </w:rPr>
        <w:t xml:space="preserve">В 2012 г. дополнительные средства в размере 50 млн. фунтов были предоставлены государством на </w:t>
      </w:r>
      <w:r w:rsidR="009B6FC7" w:rsidRPr="009B6FC7">
        <w:rPr>
          <w:rFonts w:ascii="Times New Roman" w:hAnsi="Times New Roman" w:cs="Times New Roman"/>
          <w:color w:val="auto"/>
          <w:sz w:val="28"/>
          <w:szCs w:val="28"/>
        </w:rPr>
        <w:t>запуск программы для</w:t>
      </w:r>
      <w:r w:rsidR="00833990" w:rsidRPr="009B6FC7">
        <w:rPr>
          <w:rFonts w:ascii="Times New Roman" w:hAnsi="Times New Roman" w:cs="Times New Roman"/>
          <w:color w:val="auto"/>
          <w:sz w:val="28"/>
          <w:szCs w:val="28"/>
        </w:rPr>
        <w:t xml:space="preserve"> «второй волны» городов</w:t>
      </w:r>
      <w:r w:rsidR="009B6FC7" w:rsidRPr="009B6FC7">
        <w:rPr>
          <w:rFonts w:ascii="Times New Roman" w:hAnsi="Times New Roman" w:cs="Times New Roman"/>
          <w:color w:val="auto"/>
          <w:sz w:val="28"/>
          <w:szCs w:val="28"/>
        </w:rPr>
        <w:t xml:space="preserve">, в которую вошли </w:t>
      </w:r>
      <w:r w:rsidR="00CC35AC" w:rsidRPr="009B6FC7">
        <w:rPr>
          <w:rFonts w:ascii="Times New Roman" w:hAnsi="Times New Roman" w:cs="Times New Roman"/>
          <w:color w:val="auto"/>
          <w:sz w:val="28"/>
          <w:szCs w:val="28"/>
        </w:rPr>
        <w:t>Абердин</w:t>
      </w:r>
      <w:r w:rsidR="009B6FC7" w:rsidRPr="009B6FC7">
        <w:rPr>
          <w:rFonts w:ascii="Times New Roman" w:hAnsi="Times New Roman" w:cs="Times New Roman"/>
          <w:color w:val="auto"/>
          <w:sz w:val="28"/>
          <w:szCs w:val="28"/>
        </w:rPr>
        <w:t>, Де</w:t>
      </w:r>
      <w:r w:rsidR="00CC35A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B6FC7" w:rsidRPr="009B6FC7">
        <w:rPr>
          <w:rFonts w:ascii="Times New Roman" w:hAnsi="Times New Roman" w:cs="Times New Roman"/>
          <w:color w:val="auto"/>
          <w:sz w:val="28"/>
          <w:szCs w:val="28"/>
        </w:rPr>
        <w:t>би и Перт.</w:t>
      </w:r>
      <w:r w:rsidR="00A646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0235" w:rsidRPr="00F371D1" w:rsidRDefault="00A64613" w:rsidP="0098167E">
      <w:pPr>
        <w:tabs>
          <w:tab w:val="left" w:pos="4153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</w:t>
      </w:r>
      <w:r w:rsidR="004F2028">
        <w:rPr>
          <w:rFonts w:ascii="Times New Roman" w:hAnsi="Times New Roman" w:cs="Times New Roman"/>
          <w:color w:val="auto"/>
          <w:sz w:val="28"/>
          <w:szCs w:val="28"/>
        </w:rPr>
        <w:t>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окажет благоприятное воздействие в виде улучшенного доступа к высокоскоростной и беспроводной сети. Это позволит существующим бизнес центрам в городах создать перспективные направления предпринимательской деятельности и возможности для экономического роста по всей Великобритании.</w:t>
      </w:r>
      <w:r w:rsidR="004F2028">
        <w:rPr>
          <w:rFonts w:ascii="Times New Roman" w:hAnsi="Times New Roman" w:cs="Times New Roman"/>
          <w:color w:val="auto"/>
          <w:sz w:val="28"/>
          <w:szCs w:val="28"/>
        </w:rPr>
        <w:t xml:space="preserve"> К 2015 </w:t>
      </w:r>
      <w:r w:rsidR="004F2028" w:rsidRPr="00F371D1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9A4FF3" w:rsidRPr="00F371D1">
        <w:rPr>
          <w:rFonts w:ascii="Times New Roman" w:hAnsi="Times New Roman" w:cs="Times New Roman"/>
          <w:color w:val="auto"/>
          <w:sz w:val="28"/>
          <w:szCs w:val="28"/>
        </w:rPr>
        <w:t xml:space="preserve">в программе </w:t>
      </w:r>
      <w:r w:rsidR="00DB5953" w:rsidRPr="00F371D1">
        <w:rPr>
          <w:rFonts w:ascii="Times New Roman" w:hAnsi="Times New Roman" w:cs="Times New Roman"/>
          <w:color w:val="auto"/>
          <w:sz w:val="28"/>
          <w:szCs w:val="28"/>
        </w:rPr>
        <w:t>планируется</w:t>
      </w:r>
      <w:r w:rsidR="004F2028" w:rsidRPr="00F371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4FF3" w:rsidRPr="00F371D1">
        <w:rPr>
          <w:rFonts w:ascii="Times New Roman" w:hAnsi="Times New Roman" w:cs="Times New Roman"/>
          <w:color w:val="auto"/>
          <w:sz w:val="28"/>
          <w:szCs w:val="28"/>
        </w:rPr>
        <w:t>задействовать до 1,7 млн. домашних хозяйств 200</w:t>
      </w:r>
      <w:r w:rsidR="00AB1083">
        <w:rPr>
          <w:rFonts w:ascii="Times New Roman" w:hAnsi="Times New Roman" w:cs="Times New Roman"/>
          <w:color w:val="auto"/>
          <w:sz w:val="28"/>
          <w:szCs w:val="28"/>
        </w:rPr>
        <w:t xml:space="preserve"> тым.</w:t>
      </w:r>
      <w:r w:rsidR="009A4FF3" w:rsidRPr="00F371D1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предприятий.</w:t>
      </w:r>
      <w:r w:rsidR="00EF6E3E" w:rsidRPr="00F371D1">
        <w:rPr>
          <w:rStyle w:val="a3"/>
          <w:rFonts w:ascii="Times New Roman" w:hAnsi="Times New Roman"/>
          <w:color w:val="auto"/>
          <w:sz w:val="28"/>
          <w:szCs w:val="28"/>
        </w:rPr>
        <w:footnoteReference w:id="55"/>
      </w:r>
    </w:p>
    <w:p w:rsidR="00AB1083" w:rsidRDefault="0098167E" w:rsidP="00AB108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1D1">
        <w:rPr>
          <w:rFonts w:ascii="Times New Roman" w:hAnsi="Times New Roman" w:cs="Times New Roman"/>
          <w:color w:val="auto"/>
          <w:sz w:val="28"/>
          <w:szCs w:val="28"/>
        </w:rPr>
        <w:t>Таким образом,</w:t>
      </w:r>
      <w:r w:rsidRPr="00F371D1">
        <w:rPr>
          <w:rFonts w:ascii="Times New Roman" w:hAnsi="Times New Roman" w:cs="Times New Roman"/>
          <w:sz w:val="28"/>
          <w:szCs w:val="28"/>
        </w:rPr>
        <w:t xml:space="preserve"> Стратегия инновационного развития </w:t>
      </w:r>
      <w:r w:rsidRPr="00F371D1">
        <w:rPr>
          <w:rFonts w:ascii="Times New Roman" w:hAnsi="Times New Roman" w:cs="Times New Roman"/>
          <w:sz w:val="28"/>
          <w:szCs w:val="28"/>
          <w:lang w:val="en-US"/>
        </w:rPr>
        <w:t>IRSG</w:t>
      </w:r>
      <w:r w:rsidRPr="00F371D1">
        <w:rPr>
          <w:rFonts w:ascii="Times New Roman" w:hAnsi="Times New Roman" w:cs="Times New Roman"/>
          <w:sz w:val="28"/>
          <w:szCs w:val="28"/>
        </w:rPr>
        <w:t xml:space="preserve"> представляет собой попытку создания</w:t>
      </w:r>
      <w:r w:rsidR="00F371D1">
        <w:rPr>
          <w:rFonts w:ascii="Times New Roman" w:hAnsi="Times New Roman" w:cs="Times New Roman"/>
          <w:sz w:val="28"/>
          <w:szCs w:val="28"/>
        </w:rPr>
        <w:t xml:space="preserve"> базовой</w:t>
      </w:r>
      <w:r w:rsidRPr="00F371D1">
        <w:rPr>
          <w:rFonts w:ascii="Times New Roman" w:hAnsi="Times New Roman" w:cs="Times New Roman"/>
          <w:sz w:val="28"/>
          <w:szCs w:val="28"/>
        </w:rPr>
        <w:t xml:space="preserve"> </w:t>
      </w:r>
      <w:r w:rsidR="00F371D1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5F3A36">
        <w:rPr>
          <w:rFonts w:ascii="Times New Roman" w:hAnsi="Times New Roman" w:cs="Times New Roman"/>
          <w:sz w:val="28"/>
          <w:szCs w:val="28"/>
        </w:rPr>
        <w:t>для будущих инвестиций и инициатив. Чтобы добиться успеха, правительству необходимо принять меры по улучшению существующую стратегию с дальнейшими инвестициями для экономического роста.</w:t>
      </w:r>
      <w:r w:rsidR="00AB1083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BD7505">
        <w:rPr>
          <w:rFonts w:ascii="Times New Roman" w:hAnsi="Times New Roman" w:cs="Times New Roman"/>
          <w:sz w:val="28"/>
          <w:szCs w:val="28"/>
        </w:rPr>
        <w:t>исследовательские возможности отдельных регионов и отраслей в последнее время признаются стратегическими</w:t>
      </w:r>
      <w:r w:rsidR="00C73D0F">
        <w:rPr>
          <w:rFonts w:ascii="Times New Roman" w:hAnsi="Times New Roman" w:cs="Times New Roman"/>
          <w:sz w:val="28"/>
          <w:szCs w:val="28"/>
        </w:rPr>
        <w:t xml:space="preserve"> для Б</w:t>
      </w:r>
      <w:r w:rsidR="00061D5A">
        <w:rPr>
          <w:rFonts w:ascii="Times New Roman" w:hAnsi="Times New Roman" w:cs="Times New Roman"/>
          <w:sz w:val="28"/>
          <w:szCs w:val="28"/>
        </w:rPr>
        <w:t>ритании</w:t>
      </w:r>
      <w:r w:rsidR="00CE3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B8" w:rsidRPr="00B800B4" w:rsidRDefault="00A92FE8" w:rsidP="00AB108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2012 г. предоставил возможность для дальнейшей поддержки правительственной стратегии и, в  очере</w:t>
      </w:r>
      <w:r w:rsidR="00AB1083">
        <w:rPr>
          <w:rFonts w:ascii="Times New Roman" w:hAnsi="Times New Roman" w:cs="Times New Roman"/>
          <w:sz w:val="28"/>
          <w:szCs w:val="28"/>
        </w:rPr>
        <w:t>дной раз продемонстрировал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CC">
        <w:rPr>
          <w:rFonts w:ascii="Times New Roman" w:hAnsi="Times New Roman" w:cs="Times New Roman"/>
          <w:sz w:val="28"/>
          <w:szCs w:val="28"/>
        </w:rPr>
        <w:t>всестороннее</w:t>
      </w:r>
      <w:r w:rsidR="00C73D0F">
        <w:rPr>
          <w:rFonts w:ascii="Times New Roman" w:hAnsi="Times New Roman" w:cs="Times New Roman"/>
          <w:sz w:val="28"/>
          <w:szCs w:val="28"/>
        </w:rPr>
        <w:t xml:space="preserve"> стратегическое видение инновационной политики в Великобритании</w:t>
      </w:r>
      <w:r w:rsidR="00B800B4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C73D0F">
        <w:rPr>
          <w:rFonts w:ascii="Times New Roman" w:hAnsi="Times New Roman" w:cs="Times New Roman"/>
          <w:sz w:val="28"/>
          <w:szCs w:val="28"/>
        </w:rPr>
        <w:t>, которая</w:t>
      </w:r>
      <w:r w:rsidR="00B800B4">
        <w:rPr>
          <w:rFonts w:ascii="Times New Roman" w:hAnsi="Times New Roman" w:cs="Times New Roman"/>
          <w:sz w:val="28"/>
          <w:szCs w:val="28"/>
        </w:rPr>
        <w:t xml:space="preserve"> будет оставаться реализованной лишь частично.</w:t>
      </w:r>
    </w:p>
    <w:p w:rsidR="00F73AB8" w:rsidRPr="001B3F77" w:rsidRDefault="00F73AB8" w:rsidP="00F73AB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1B3F77">
        <w:rPr>
          <w:rFonts w:ascii="Times New Roman" w:hAnsi="Times New Roman" w:cs="Times New Roman"/>
          <w:sz w:val="28"/>
          <w:szCs w:val="28"/>
        </w:rPr>
        <w:lastRenderedPageBreak/>
        <w:t>Проведенный анализ показывает четкую тенденцию по формированию государственно-частных партнерств в области инноваций, что нах</w:t>
      </w:r>
      <w:r w:rsidR="000B36EB">
        <w:rPr>
          <w:rFonts w:ascii="Times New Roman" w:hAnsi="Times New Roman" w:cs="Times New Roman"/>
          <w:sz w:val="28"/>
          <w:szCs w:val="28"/>
        </w:rPr>
        <w:t>одит свое отражение в системах у</w:t>
      </w:r>
      <w:r w:rsidRPr="001B3F77">
        <w:rPr>
          <w:rFonts w:ascii="Times New Roman" w:hAnsi="Times New Roman" w:cs="Times New Roman"/>
          <w:sz w:val="28"/>
          <w:szCs w:val="28"/>
        </w:rPr>
        <w:t xml:space="preserve">правления на уровне органов исполнительной власти. Особенно подобная тенденция заметна на примере развития систем государственно-частного финансирования инновационной деятельности, которые во все большей степени структурируются в рамках </w:t>
      </w:r>
      <w:r w:rsidR="00AB1083">
        <w:rPr>
          <w:rFonts w:ascii="Times New Roman" w:hAnsi="Times New Roman" w:cs="Times New Roman"/>
          <w:sz w:val="28"/>
          <w:szCs w:val="28"/>
        </w:rPr>
        <w:t xml:space="preserve">т.н. </w:t>
      </w:r>
      <w:r w:rsidRPr="001B3F77">
        <w:rPr>
          <w:rFonts w:ascii="Times New Roman" w:hAnsi="Times New Roman" w:cs="Times New Roman"/>
          <w:sz w:val="28"/>
          <w:szCs w:val="28"/>
        </w:rPr>
        <w:t>инновационной цепочки «образование – наука – технологии – промышленность». В результате появляются целые комплексы фондов, создаваемых в целях финансирования различных этапов инновационной деятельности.</w:t>
      </w:r>
    </w:p>
    <w:p w:rsidR="00471EF2" w:rsidRDefault="00471EF2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C1" w:rsidRDefault="007563C1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C1" w:rsidRDefault="007563C1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C1" w:rsidRDefault="007563C1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C1" w:rsidRDefault="007563C1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C1" w:rsidRDefault="007563C1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B" w:rsidRDefault="003917CB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B" w:rsidRDefault="003917CB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B" w:rsidRDefault="003917CB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B" w:rsidRDefault="003917CB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B" w:rsidRDefault="003917CB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B" w:rsidRDefault="003917CB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B" w:rsidRDefault="003917CB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C1" w:rsidRDefault="007563C1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C1" w:rsidRDefault="007563C1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1D26" w:rsidRDefault="00C11D26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1D26" w:rsidRDefault="00C11D26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1D26" w:rsidRDefault="00C11D26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1D26" w:rsidRDefault="00C11D26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EF2" w:rsidRPr="00694C30" w:rsidRDefault="00471EF2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1B09" w:rsidRPr="00694C30" w:rsidRDefault="00091B09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1B09" w:rsidRPr="00694C30" w:rsidRDefault="00091B09" w:rsidP="006C3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3F77" w:rsidRPr="003723DF" w:rsidRDefault="004D40AD" w:rsidP="00881A5C">
      <w:pPr>
        <w:pStyle w:val="a7"/>
        <w:numPr>
          <w:ilvl w:val="0"/>
          <w:numId w:val="10"/>
        </w:num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3723DF">
        <w:rPr>
          <w:rFonts w:ascii="Times New Roman" w:hAnsi="Times New Roman" w:cs="Times New Roman"/>
          <w:sz w:val="32"/>
          <w:szCs w:val="28"/>
        </w:rPr>
        <w:lastRenderedPageBreak/>
        <w:t>Эффективность инновационной политики Великобритании</w:t>
      </w:r>
    </w:p>
    <w:p w:rsidR="00DA672C" w:rsidRPr="00135132" w:rsidRDefault="001B3F77" w:rsidP="00996806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5132">
        <w:rPr>
          <w:rFonts w:ascii="Times New Roman" w:hAnsi="Times New Roman" w:cs="Times New Roman"/>
          <w:sz w:val="28"/>
          <w:szCs w:val="28"/>
        </w:rPr>
        <w:t xml:space="preserve">3.1. </w:t>
      </w:r>
      <w:r w:rsidR="00996806" w:rsidRPr="00135132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135132">
        <w:rPr>
          <w:rFonts w:ascii="Times New Roman" w:hAnsi="Times New Roman" w:cs="Times New Roman"/>
          <w:sz w:val="28"/>
          <w:szCs w:val="28"/>
        </w:rPr>
        <w:t>инновационной политики</w:t>
      </w:r>
    </w:p>
    <w:p w:rsidR="00996806" w:rsidRPr="00DA672C" w:rsidRDefault="00996806" w:rsidP="00996806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</w:rPr>
      </w:pPr>
    </w:p>
    <w:p w:rsidR="00FF0177" w:rsidRPr="00F03DB7" w:rsidRDefault="0021786A" w:rsidP="0099680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Правительство Великобритании взяло на себя обязательство по инвестированию в науку и  инновационные технологии, но в какой степени была </w:t>
      </w:r>
      <w:r w:rsidR="004C7E2B">
        <w:rPr>
          <w:rFonts w:ascii="Times New Roman" w:hAnsi="Times New Roman" w:cs="Times New Roman"/>
          <w:sz w:val="28"/>
        </w:rPr>
        <w:t>эффективна</w:t>
      </w:r>
      <w:r w:rsidR="00672A57">
        <w:rPr>
          <w:rFonts w:ascii="Times New Roman" w:hAnsi="Times New Roman" w:cs="Times New Roman"/>
          <w:sz w:val="28"/>
        </w:rPr>
        <w:t xml:space="preserve"> проводимая</w:t>
      </w:r>
      <w:r w:rsidR="004C7E2B">
        <w:rPr>
          <w:rFonts w:ascii="Times New Roman" w:hAnsi="Times New Roman" w:cs="Times New Roman"/>
          <w:sz w:val="28"/>
        </w:rPr>
        <w:t xml:space="preserve"> политика? В данной главе будут рассмотрены результаты </w:t>
      </w:r>
      <w:r w:rsidR="00C349DB">
        <w:rPr>
          <w:rFonts w:ascii="Times New Roman" w:hAnsi="Times New Roman" w:cs="Times New Roman"/>
          <w:sz w:val="28"/>
        </w:rPr>
        <w:t xml:space="preserve">действующей </w:t>
      </w:r>
      <w:r w:rsidR="004C7E2B">
        <w:rPr>
          <w:rFonts w:ascii="Times New Roman" w:hAnsi="Times New Roman" w:cs="Times New Roman"/>
          <w:sz w:val="28"/>
        </w:rPr>
        <w:t>инновационной политики, т.е. какие из поставленных  правительством</w:t>
      </w:r>
      <w:r w:rsidR="004C7E2B" w:rsidRPr="004C7E2B">
        <w:rPr>
          <w:rFonts w:ascii="Times New Roman" w:hAnsi="Times New Roman" w:cs="Times New Roman"/>
          <w:sz w:val="28"/>
        </w:rPr>
        <w:t xml:space="preserve"> целей были достигнуты.</w:t>
      </w:r>
      <w:r w:rsidR="00FF0177">
        <w:rPr>
          <w:rFonts w:ascii="Times New Roman" w:hAnsi="Times New Roman" w:cs="Times New Roman"/>
          <w:sz w:val="28"/>
        </w:rPr>
        <w:t xml:space="preserve"> В качестве основы </w:t>
      </w:r>
      <w:r w:rsidR="00A660B8">
        <w:rPr>
          <w:rFonts w:ascii="Times New Roman" w:hAnsi="Times New Roman" w:cs="Times New Roman"/>
          <w:sz w:val="28"/>
        </w:rPr>
        <w:t xml:space="preserve">для анализа </w:t>
      </w:r>
      <w:r w:rsidR="00FF0177">
        <w:rPr>
          <w:rFonts w:ascii="Times New Roman" w:hAnsi="Times New Roman" w:cs="Times New Roman"/>
          <w:sz w:val="28"/>
        </w:rPr>
        <w:t>послужи</w:t>
      </w:r>
      <w:r w:rsidR="00340886">
        <w:rPr>
          <w:rFonts w:ascii="Times New Roman" w:hAnsi="Times New Roman" w:cs="Times New Roman"/>
          <w:sz w:val="28"/>
        </w:rPr>
        <w:t>л</w:t>
      </w:r>
      <w:r w:rsidR="00FF0177">
        <w:rPr>
          <w:rFonts w:ascii="Times New Roman" w:hAnsi="Times New Roman" w:cs="Times New Roman"/>
          <w:sz w:val="28"/>
        </w:rPr>
        <w:t xml:space="preserve"> опрос, проведенный среди представителей ВУЗов, лидеров стартапов, политических деятелей</w:t>
      </w:r>
      <w:r w:rsidR="00B13B18">
        <w:rPr>
          <w:rFonts w:ascii="Times New Roman" w:hAnsi="Times New Roman" w:cs="Times New Roman"/>
          <w:sz w:val="28"/>
        </w:rPr>
        <w:t>, бизнесменов</w:t>
      </w:r>
      <w:r w:rsidR="00FF0177">
        <w:rPr>
          <w:rFonts w:ascii="Times New Roman" w:hAnsi="Times New Roman" w:cs="Times New Roman"/>
          <w:sz w:val="28"/>
        </w:rPr>
        <w:t xml:space="preserve"> и инвесторов с целью выяснить их мнение по поводу проводимой политики и ее эффективности.</w:t>
      </w:r>
      <w:r w:rsidR="00FF0177">
        <w:rPr>
          <w:rStyle w:val="a3"/>
          <w:rFonts w:ascii="Times New Roman" w:hAnsi="Times New Roman"/>
          <w:sz w:val="28"/>
        </w:rPr>
        <w:footnoteReference w:id="56"/>
      </w:r>
    </w:p>
    <w:p w:rsidR="00F73AB8" w:rsidRPr="00A458CA" w:rsidRDefault="004D0595" w:rsidP="007B53F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оценки конкуре</w:t>
      </w:r>
      <w:r w:rsidRPr="00DA672C">
        <w:rPr>
          <w:rFonts w:ascii="Times New Roman" w:hAnsi="Times New Roman" w:cs="Times New Roman"/>
          <w:sz w:val="28"/>
        </w:rPr>
        <w:t>нтоспособности</w:t>
      </w:r>
      <w:r w:rsidR="00DA672C" w:rsidRPr="00DA672C">
        <w:rPr>
          <w:rFonts w:ascii="Times New Roman" w:hAnsi="Times New Roman" w:cs="Times New Roman"/>
          <w:sz w:val="28"/>
        </w:rPr>
        <w:t xml:space="preserve"> экономики в качестве одной из составляющей является пока</w:t>
      </w:r>
      <w:r w:rsidR="00DA672C">
        <w:rPr>
          <w:rFonts w:ascii="Times New Roman" w:hAnsi="Times New Roman" w:cs="Times New Roman"/>
          <w:sz w:val="28"/>
        </w:rPr>
        <w:t xml:space="preserve">затель уровня технологической </w:t>
      </w:r>
      <w:r w:rsidR="00DA672C" w:rsidRPr="00DA672C">
        <w:rPr>
          <w:rFonts w:ascii="Times New Roman" w:hAnsi="Times New Roman" w:cs="Times New Roman"/>
          <w:sz w:val="28"/>
        </w:rPr>
        <w:t>готовности</w:t>
      </w:r>
      <w:r w:rsidR="00DA672C">
        <w:rPr>
          <w:rFonts w:ascii="Times New Roman" w:hAnsi="Times New Roman" w:cs="Times New Roman"/>
          <w:sz w:val="28"/>
        </w:rPr>
        <w:t xml:space="preserve"> (</w:t>
      </w:r>
      <w:r w:rsidR="00DA672C">
        <w:rPr>
          <w:rFonts w:ascii="Times New Roman" w:hAnsi="Times New Roman" w:cs="Times New Roman"/>
          <w:sz w:val="28"/>
          <w:lang w:val="en-US"/>
        </w:rPr>
        <w:t>T</w:t>
      </w:r>
      <w:r w:rsidR="00666889">
        <w:rPr>
          <w:rFonts w:ascii="Times New Roman" w:hAnsi="Times New Roman" w:cs="Times New Roman"/>
          <w:sz w:val="28"/>
          <w:lang w:val="en-US"/>
        </w:rPr>
        <w:t>echnological</w:t>
      </w:r>
      <w:r w:rsidR="00666889" w:rsidRPr="00666889">
        <w:rPr>
          <w:rFonts w:ascii="Times New Roman" w:hAnsi="Times New Roman" w:cs="Times New Roman"/>
          <w:sz w:val="28"/>
        </w:rPr>
        <w:t xml:space="preserve"> </w:t>
      </w:r>
      <w:r w:rsidR="00666889">
        <w:rPr>
          <w:rFonts w:ascii="Times New Roman" w:hAnsi="Times New Roman" w:cs="Times New Roman"/>
          <w:sz w:val="28"/>
          <w:lang w:val="en-US"/>
        </w:rPr>
        <w:t>readiness</w:t>
      </w:r>
      <w:r w:rsidR="00666889" w:rsidRPr="00666889">
        <w:rPr>
          <w:rFonts w:ascii="Times New Roman" w:hAnsi="Times New Roman" w:cs="Times New Roman"/>
          <w:sz w:val="28"/>
        </w:rPr>
        <w:t xml:space="preserve"> </w:t>
      </w:r>
      <w:r w:rsidR="00666889">
        <w:rPr>
          <w:rFonts w:ascii="Times New Roman" w:hAnsi="Times New Roman" w:cs="Times New Roman"/>
          <w:sz w:val="28"/>
          <w:lang w:val="en-US"/>
        </w:rPr>
        <w:t>level</w:t>
      </w:r>
      <w:r w:rsidR="00666889" w:rsidRPr="00666889">
        <w:rPr>
          <w:rFonts w:ascii="Times New Roman" w:hAnsi="Times New Roman" w:cs="Times New Roman"/>
          <w:sz w:val="28"/>
        </w:rPr>
        <w:t>-</w:t>
      </w:r>
      <w:r w:rsidR="00666889">
        <w:rPr>
          <w:rFonts w:ascii="Times New Roman" w:hAnsi="Times New Roman" w:cs="Times New Roman"/>
          <w:sz w:val="28"/>
          <w:lang w:val="en-US"/>
        </w:rPr>
        <w:t>T</w:t>
      </w:r>
      <w:r w:rsidR="00DA672C">
        <w:rPr>
          <w:rFonts w:ascii="Times New Roman" w:hAnsi="Times New Roman" w:cs="Times New Roman"/>
          <w:sz w:val="28"/>
          <w:lang w:val="en-US"/>
        </w:rPr>
        <w:t>RL</w:t>
      </w:r>
      <w:r w:rsidR="00DA672C" w:rsidRPr="00DA672C">
        <w:rPr>
          <w:rFonts w:ascii="Times New Roman" w:hAnsi="Times New Roman" w:cs="Times New Roman"/>
          <w:sz w:val="28"/>
        </w:rPr>
        <w:t xml:space="preserve">). </w:t>
      </w:r>
      <w:r w:rsidR="00666889">
        <w:rPr>
          <w:rFonts w:ascii="Times New Roman" w:hAnsi="Times New Roman" w:cs="Times New Roman"/>
          <w:sz w:val="28"/>
        </w:rPr>
        <w:t>Индикатор пред</w:t>
      </w:r>
      <w:r w:rsidR="00003124">
        <w:rPr>
          <w:rFonts w:ascii="Times New Roman" w:hAnsi="Times New Roman" w:cs="Times New Roman"/>
          <w:sz w:val="28"/>
        </w:rPr>
        <w:t xml:space="preserve">ставляет собой шкалу от 1 до 9, </w:t>
      </w:r>
      <w:r w:rsidR="00666889">
        <w:rPr>
          <w:rFonts w:ascii="Times New Roman" w:hAnsi="Times New Roman" w:cs="Times New Roman"/>
          <w:sz w:val="28"/>
        </w:rPr>
        <w:t xml:space="preserve">которая оценивает степень </w:t>
      </w:r>
      <w:r w:rsidR="00003124">
        <w:rPr>
          <w:rFonts w:ascii="Times New Roman" w:hAnsi="Times New Roman" w:cs="Times New Roman"/>
          <w:sz w:val="28"/>
        </w:rPr>
        <w:t xml:space="preserve">готовности инновационных технологий, где 1 соответствует базовому технологическому исследованию, 2-3 – возможность практической реализации исследования, 4-5 – технический прогресс, 6 указывает на возможность демонстрации технологии, наконец, 7-9 – разработка систем, запуск и </w:t>
      </w:r>
      <w:r w:rsidR="00F73432">
        <w:rPr>
          <w:rFonts w:ascii="Times New Roman" w:hAnsi="Times New Roman" w:cs="Times New Roman"/>
          <w:sz w:val="28"/>
        </w:rPr>
        <w:t>эксплуатация технологии</w:t>
      </w:r>
      <w:r w:rsidR="00003124" w:rsidRPr="00A458CA">
        <w:rPr>
          <w:rFonts w:ascii="Times New Roman" w:hAnsi="Times New Roman" w:cs="Times New Roman"/>
          <w:sz w:val="28"/>
        </w:rPr>
        <w:t>.</w:t>
      </w:r>
      <w:r w:rsidR="00F20CAF" w:rsidRPr="00A458CA">
        <w:rPr>
          <w:rFonts w:ascii="Times New Roman" w:hAnsi="Times New Roman" w:cs="Times New Roman"/>
          <w:sz w:val="28"/>
        </w:rPr>
        <w:t xml:space="preserve"> </w:t>
      </w:r>
      <w:r w:rsidR="00B51391" w:rsidRPr="00A458CA">
        <w:rPr>
          <w:rFonts w:ascii="Times New Roman" w:hAnsi="Times New Roman" w:cs="Times New Roman"/>
          <w:sz w:val="28"/>
        </w:rPr>
        <w:t xml:space="preserve">Деятельность британских  университетов и советов по научно-исследовательским работам </w:t>
      </w:r>
      <w:r w:rsidR="00F73432">
        <w:rPr>
          <w:rFonts w:ascii="Times New Roman" w:hAnsi="Times New Roman" w:cs="Times New Roman"/>
          <w:sz w:val="28"/>
        </w:rPr>
        <w:t>оценивается экспертами</w:t>
      </w:r>
      <w:r w:rsidR="00B51391" w:rsidRPr="00A458CA">
        <w:rPr>
          <w:rFonts w:ascii="Times New Roman" w:hAnsi="Times New Roman" w:cs="Times New Roman"/>
          <w:sz w:val="28"/>
        </w:rPr>
        <w:t xml:space="preserve"> </w:t>
      </w:r>
      <w:r w:rsidR="00F73432">
        <w:rPr>
          <w:rFonts w:ascii="Times New Roman" w:hAnsi="Times New Roman" w:cs="Times New Roman"/>
          <w:sz w:val="28"/>
        </w:rPr>
        <w:t xml:space="preserve">в шкале значением между 1 и 3, </w:t>
      </w:r>
      <w:r w:rsidR="00B51391" w:rsidRPr="00A458CA">
        <w:rPr>
          <w:rFonts w:ascii="Times New Roman" w:hAnsi="Times New Roman" w:cs="Times New Roman"/>
          <w:sz w:val="28"/>
        </w:rPr>
        <w:t xml:space="preserve">в то время как бизнес </w:t>
      </w:r>
      <w:r w:rsidR="00F73432">
        <w:rPr>
          <w:rFonts w:ascii="Times New Roman" w:hAnsi="Times New Roman" w:cs="Times New Roman"/>
          <w:sz w:val="28"/>
        </w:rPr>
        <w:t xml:space="preserve">сектор </w:t>
      </w:r>
      <w:r w:rsidR="00B51391" w:rsidRPr="00A458CA">
        <w:rPr>
          <w:rFonts w:ascii="Times New Roman" w:hAnsi="Times New Roman" w:cs="Times New Roman"/>
          <w:sz w:val="28"/>
        </w:rPr>
        <w:t>сконцентрирован в области 6-9.</w:t>
      </w:r>
      <w:r w:rsidR="007F2A58" w:rsidRPr="00A458CA">
        <w:rPr>
          <w:rFonts w:ascii="Times New Roman" w:hAnsi="Times New Roman" w:cs="Times New Roman"/>
          <w:sz w:val="28"/>
        </w:rPr>
        <w:t xml:space="preserve"> </w:t>
      </w:r>
      <w:r w:rsidR="00E070E9" w:rsidRPr="00A458CA">
        <w:rPr>
          <w:rFonts w:ascii="Times New Roman" w:hAnsi="Times New Roman" w:cs="Times New Roman"/>
          <w:sz w:val="28"/>
        </w:rPr>
        <w:t>Таким образом</w:t>
      </w:r>
      <w:r w:rsidR="00F73432">
        <w:rPr>
          <w:rFonts w:ascii="Times New Roman" w:hAnsi="Times New Roman" w:cs="Times New Roman"/>
          <w:sz w:val="28"/>
        </w:rPr>
        <w:t xml:space="preserve">, промежуток </w:t>
      </w:r>
      <w:r w:rsidR="00E070E9" w:rsidRPr="00A458CA">
        <w:rPr>
          <w:rFonts w:ascii="Times New Roman" w:hAnsi="Times New Roman" w:cs="Times New Roman"/>
          <w:sz w:val="28"/>
        </w:rPr>
        <w:t xml:space="preserve">3-7 </w:t>
      </w:r>
      <w:r w:rsidR="00F73432">
        <w:rPr>
          <w:rFonts w:ascii="Times New Roman" w:hAnsi="Times New Roman" w:cs="Times New Roman"/>
          <w:sz w:val="28"/>
        </w:rPr>
        <w:t xml:space="preserve">остается для осуществления </w:t>
      </w:r>
      <w:r w:rsidR="007F2A58" w:rsidRPr="00A458CA">
        <w:rPr>
          <w:rFonts w:ascii="Times New Roman" w:hAnsi="Times New Roman" w:cs="Times New Roman"/>
          <w:sz w:val="28"/>
        </w:rPr>
        <w:t>правительство</w:t>
      </w:r>
      <w:r w:rsidR="00F73432">
        <w:rPr>
          <w:rFonts w:ascii="Times New Roman" w:hAnsi="Times New Roman" w:cs="Times New Roman"/>
          <w:sz w:val="28"/>
        </w:rPr>
        <w:t>м</w:t>
      </w:r>
      <w:r w:rsidR="007F2A58" w:rsidRPr="00A458CA">
        <w:rPr>
          <w:rFonts w:ascii="Times New Roman" w:hAnsi="Times New Roman" w:cs="Times New Roman"/>
          <w:sz w:val="28"/>
        </w:rPr>
        <w:t xml:space="preserve"> </w:t>
      </w:r>
      <w:r w:rsidR="00F73432">
        <w:rPr>
          <w:rFonts w:ascii="Times New Roman" w:hAnsi="Times New Roman" w:cs="Times New Roman"/>
          <w:sz w:val="28"/>
        </w:rPr>
        <w:t xml:space="preserve">своей </w:t>
      </w:r>
      <w:r w:rsidR="007F2A58" w:rsidRPr="00A458CA">
        <w:rPr>
          <w:rFonts w:ascii="Times New Roman" w:hAnsi="Times New Roman" w:cs="Times New Roman"/>
          <w:sz w:val="28"/>
        </w:rPr>
        <w:t>поддержк</w:t>
      </w:r>
      <w:r w:rsidR="00F73432">
        <w:rPr>
          <w:rFonts w:ascii="Times New Roman" w:hAnsi="Times New Roman" w:cs="Times New Roman"/>
          <w:sz w:val="28"/>
        </w:rPr>
        <w:t>и</w:t>
      </w:r>
      <w:r w:rsidR="007F2A58" w:rsidRPr="00A458CA">
        <w:rPr>
          <w:rFonts w:ascii="Times New Roman" w:hAnsi="Times New Roman" w:cs="Times New Roman"/>
          <w:sz w:val="28"/>
        </w:rPr>
        <w:t>.</w:t>
      </w:r>
    </w:p>
    <w:p w:rsidR="008E2EAF" w:rsidRPr="00A458CA" w:rsidRDefault="008E2EAF" w:rsidP="008E2EA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A458CA">
        <w:rPr>
          <w:rFonts w:ascii="Times New Roman" w:hAnsi="Times New Roman" w:cs="Times New Roman"/>
          <w:sz w:val="28"/>
        </w:rPr>
        <w:t xml:space="preserve">Одной из главных проблем в </w:t>
      </w:r>
      <w:r w:rsidR="00211542">
        <w:rPr>
          <w:rFonts w:ascii="Times New Roman" w:hAnsi="Times New Roman" w:cs="Times New Roman"/>
          <w:sz w:val="28"/>
        </w:rPr>
        <w:t>Соединенном королевстве</w:t>
      </w:r>
      <w:r w:rsidRPr="00A458CA">
        <w:rPr>
          <w:rFonts w:ascii="Times New Roman" w:hAnsi="Times New Roman" w:cs="Times New Roman"/>
          <w:sz w:val="28"/>
        </w:rPr>
        <w:t xml:space="preserve"> </w:t>
      </w:r>
      <w:r w:rsidR="00211542">
        <w:rPr>
          <w:rFonts w:ascii="Times New Roman" w:hAnsi="Times New Roman" w:cs="Times New Roman"/>
          <w:sz w:val="28"/>
        </w:rPr>
        <w:t xml:space="preserve">остается </w:t>
      </w:r>
      <w:r w:rsidRPr="00A458CA">
        <w:rPr>
          <w:rFonts w:ascii="Times New Roman" w:hAnsi="Times New Roman" w:cs="Times New Roman"/>
          <w:sz w:val="28"/>
        </w:rPr>
        <w:t>коммерциализац</w:t>
      </w:r>
      <w:r w:rsidR="000D04AA">
        <w:rPr>
          <w:rFonts w:ascii="Times New Roman" w:hAnsi="Times New Roman" w:cs="Times New Roman"/>
          <w:sz w:val="28"/>
        </w:rPr>
        <w:t>ия</w:t>
      </w:r>
      <w:r w:rsidRPr="00A458CA">
        <w:rPr>
          <w:rFonts w:ascii="Times New Roman" w:hAnsi="Times New Roman" w:cs="Times New Roman"/>
          <w:sz w:val="28"/>
        </w:rPr>
        <w:t xml:space="preserve"> </w:t>
      </w:r>
      <w:r w:rsidR="00211542">
        <w:rPr>
          <w:rFonts w:ascii="Times New Roman" w:hAnsi="Times New Roman" w:cs="Times New Roman"/>
          <w:sz w:val="28"/>
        </w:rPr>
        <w:t xml:space="preserve">полученных в ходе </w:t>
      </w:r>
      <w:r w:rsidRPr="00A458CA">
        <w:rPr>
          <w:rFonts w:ascii="Times New Roman" w:hAnsi="Times New Roman" w:cs="Times New Roman"/>
          <w:sz w:val="28"/>
        </w:rPr>
        <w:t>исследований</w:t>
      </w:r>
      <w:r w:rsidR="00211542">
        <w:rPr>
          <w:rFonts w:ascii="Times New Roman" w:hAnsi="Times New Roman" w:cs="Times New Roman"/>
          <w:sz w:val="28"/>
        </w:rPr>
        <w:t xml:space="preserve"> результатов</w:t>
      </w:r>
      <w:r w:rsidRPr="00A458CA">
        <w:rPr>
          <w:rFonts w:ascii="Times New Roman" w:hAnsi="Times New Roman" w:cs="Times New Roman"/>
          <w:sz w:val="28"/>
        </w:rPr>
        <w:t xml:space="preserve">. Поскольку ИР представляют собой затратный и длительный процесс, необходимы долгосрочные инвестиции. </w:t>
      </w:r>
      <w:r w:rsidR="00601CE5">
        <w:rPr>
          <w:rFonts w:ascii="Times New Roman" w:hAnsi="Times New Roman" w:cs="Times New Roman"/>
          <w:sz w:val="28"/>
        </w:rPr>
        <w:t>Впоследствии, э</w:t>
      </w:r>
      <w:r w:rsidRPr="00A458CA">
        <w:rPr>
          <w:rFonts w:ascii="Times New Roman" w:hAnsi="Times New Roman" w:cs="Times New Roman"/>
          <w:sz w:val="28"/>
        </w:rPr>
        <w:t>то привело к</w:t>
      </w:r>
      <w:r w:rsidR="000D04AA">
        <w:rPr>
          <w:rFonts w:ascii="Times New Roman" w:hAnsi="Times New Roman" w:cs="Times New Roman"/>
          <w:sz w:val="28"/>
        </w:rPr>
        <w:t xml:space="preserve"> реализации</w:t>
      </w:r>
      <w:r w:rsidRPr="00A458CA">
        <w:rPr>
          <w:rFonts w:ascii="Times New Roman" w:hAnsi="Times New Roman" w:cs="Times New Roman"/>
          <w:sz w:val="28"/>
        </w:rPr>
        <w:t xml:space="preserve"> ключевой иде</w:t>
      </w:r>
      <w:r w:rsidR="000D04AA">
        <w:rPr>
          <w:rFonts w:ascii="Times New Roman" w:hAnsi="Times New Roman" w:cs="Times New Roman"/>
          <w:sz w:val="28"/>
        </w:rPr>
        <w:t xml:space="preserve">и </w:t>
      </w:r>
      <w:r w:rsidRPr="00A458CA">
        <w:rPr>
          <w:rFonts w:ascii="Times New Roman" w:hAnsi="Times New Roman" w:cs="Times New Roman"/>
          <w:sz w:val="28"/>
        </w:rPr>
        <w:t>налоговых ль</w:t>
      </w:r>
      <w:r w:rsidR="000D04AA">
        <w:rPr>
          <w:rFonts w:ascii="Times New Roman" w:hAnsi="Times New Roman" w:cs="Times New Roman"/>
          <w:sz w:val="28"/>
        </w:rPr>
        <w:t>гот по затратам на ИР, а также</w:t>
      </w:r>
      <w:r w:rsidRPr="00A458CA">
        <w:rPr>
          <w:rFonts w:ascii="Times New Roman" w:hAnsi="Times New Roman" w:cs="Times New Roman"/>
          <w:sz w:val="28"/>
        </w:rPr>
        <w:t xml:space="preserve"> обложения прибыли от использования запатентованной технологии иной ставкой налога. Подобные инициативы стали своего рода </w:t>
      </w:r>
      <w:r w:rsidRPr="00A458CA">
        <w:rPr>
          <w:rFonts w:ascii="Times New Roman" w:hAnsi="Times New Roman" w:cs="Times New Roman"/>
          <w:sz w:val="28"/>
        </w:rPr>
        <w:lastRenderedPageBreak/>
        <w:t>поощрением со стороны государства для тех, кто готов экспериментировать и воплощать в жизнь новые идеи.</w:t>
      </w:r>
      <w:r w:rsidR="00B70489" w:rsidRPr="00A458CA">
        <w:rPr>
          <w:rFonts w:ascii="Times New Roman" w:hAnsi="Times New Roman" w:cs="Times New Roman"/>
          <w:sz w:val="28"/>
        </w:rPr>
        <w:t xml:space="preserve"> </w:t>
      </w:r>
    </w:p>
    <w:p w:rsidR="00CD0674" w:rsidRDefault="00CD0674" w:rsidP="009942D7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опрошенных в ходе исследования </w:t>
      </w:r>
      <w:r w:rsidR="0094703A">
        <w:rPr>
          <w:rFonts w:ascii="Times New Roman" w:hAnsi="Times New Roman" w:cs="Times New Roman"/>
          <w:sz w:val="28"/>
          <w:szCs w:val="28"/>
        </w:rPr>
        <w:t xml:space="preserve"> </w:t>
      </w:r>
      <w:r w:rsidR="009570A9">
        <w:rPr>
          <w:rFonts w:ascii="Times New Roman" w:hAnsi="Times New Roman" w:cs="Times New Roman"/>
          <w:sz w:val="28"/>
          <w:szCs w:val="28"/>
        </w:rPr>
        <w:t xml:space="preserve">были довольны поставленными </w:t>
      </w:r>
      <w:r w:rsidR="0094703A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9570A9">
        <w:rPr>
          <w:rFonts w:ascii="Times New Roman" w:hAnsi="Times New Roman" w:cs="Times New Roman"/>
          <w:sz w:val="28"/>
          <w:szCs w:val="28"/>
        </w:rPr>
        <w:t xml:space="preserve"> целями</w:t>
      </w:r>
      <w:r w:rsidR="009470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52ED">
        <w:rPr>
          <w:rFonts w:ascii="Times New Roman" w:hAnsi="Times New Roman" w:cs="Times New Roman"/>
          <w:sz w:val="28"/>
          <w:szCs w:val="28"/>
        </w:rPr>
        <w:t>выполнение</w:t>
      </w:r>
      <w:r w:rsidR="009570A9">
        <w:rPr>
          <w:rFonts w:ascii="Times New Roman" w:hAnsi="Times New Roman" w:cs="Times New Roman"/>
          <w:sz w:val="28"/>
          <w:szCs w:val="28"/>
        </w:rPr>
        <w:t>м</w:t>
      </w:r>
      <w:r w:rsidR="004B1AFE">
        <w:rPr>
          <w:rFonts w:ascii="Times New Roman" w:hAnsi="Times New Roman" w:cs="Times New Roman"/>
          <w:sz w:val="28"/>
          <w:szCs w:val="28"/>
        </w:rPr>
        <w:t xml:space="preserve"> правительственных обязательств по инвестированию в инновационную сферу.</w:t>
      </w:r>
      <w:r w:rsidR="009D52ED">
        <w:rPr>
          <w:rFonts w:ascii="Times New Roman" w:hAnsi="Times New Roman" w:cs="Times New Roman"/>
          <w:sz w:val="28"/>
          <w:szCs w:val="28"/>
        </w:rPr>
        <w:t xml:space="preserve"> </w:t>
      </w:r>
      <w:r w:rsidR="00711E33">
        <w:rPr>
          <w:rFonts w:ascii="Times New Roman" w:hAnsi="Times New Roman" w:cs="Times New Roman"/>
          <w:sz w:val="28"/>
          <w:szCs w:val="28"/>
        </w:rPr>
        <w:t xml:space="preserve"> </w:t>
      </w:r>
      <w:r w:rsidR="002513C8">
        <w:rPr>
          <w:rFonts w:ascii="Times New Roman" w:hAnsi="Times New Roman" w:cs="Times New Roman"/>
          <w:sz w:val="28"/>
          <w:szCs w:val="28"/>
        </w:rPr>
        <w:t>Однако,</w:t>
      </w:r>
      <w:r w:rsidR="00820D4A">
        <w:rPr>
          <w:rFonts w:ascii="Times New Roman" w:hAnsi="Times New Roman" w:cs="Times New Roman"/>
          <w:sz w:val="28"/>
          <w:szCs w:val="28"/>
        </w:rPr>
        <w:t xml:space="preserve"> многие предприниматели, которые хотели обеспечить безопасность финансирования через систему грантов </w:t>
      </w:r>
      <w:r w:rsidR="00820D4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820D4A" w:rsidRPr="00820D4A">
        <w:rPr>
          <w:rFonts w:ascii="Times New Roman" w:hAnsi="Times New Roman" w:cs="Times New Roman"/>
          <w:sz w:val="28"/>
          <w:szCs w:val="28"/>
        </w:rPr>
        <w:t xml:space="preserve"> </w:t>
      </w:r>
      <w:r w:rsidR="00820D4A">
        <w:rPr>
          <w:rFonts w:ascii="Times New Roman" w:hAnsi="Times New Roman" w:cs="Times New Roman"/>
          <w:sz w:val="28"/>
          <w:szCs w:val="28"/>
        </w:rPr>
        <w:t xml:space="preserve">и инициативы </w:t>
      </w:r>
      <w:r w:rsidR="00820D4A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820D4A" w:rsidRPr="00820D4A">
        <w:rPr>
          <w:rFonts w:ascii="Times New Roman" w:hAnsi="Times New Roman" w:cs="Times New Roman"/>
          <w:sz w:val="28"/>
          <w:szCs w:val="28"/>
        </w:rPr>
        <w:t xml:space="preserve"> </w:t>
      </w:r>
      <w:r w:rsidR="00820D4A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820D4A" w:rsidRPr="00820D4A">
        <w:rPr>
          <w:rFonts w:ascii="Times New Roman" w:hAnsi="Times New Roman" w:cs="Times New Roman"/>
          <w:sz w:val="28"/>
          <w:szCs w:val="28"/>
        </w:rPr>
        <w:t xml:space="preserve"> </w:t>
      </w:r>
      <w:r w:rsidR="00820D4A">
        <w:rPr>
          <w:rFonts w:ascii="Times New Roman" w:hAnsi="Times New Roman" w:cs="Times New Roman"/>
          <w:sz w:val="28"/>
          <w:szCs w:val="28"/>
          <w:lang w:val="en-US"/>
        </w:rPr>
        <w:t>Launchpad</w:t>
      </w:r>
      <w:r w:rsidR="00820D4A" w:rsidRPr="00820D4A">
        <w:rPr>
          <w:rFonts w:ascii="Times New Roman" w:hAnsi="Times New Roman" w:cs="Times New Roman"/>
          <w:sz w:val="28"/>
          <w:szCs w:val="28"/>
        </w:rPr>
        <w:t xml:space="preserve"> </w:t>
      </w:r>
      <w:r w:rsidR="00705440">
        <w:rPr>
          <w:rFonts w:ascii="Times New Roman" w:hAnsi="Times New Roman" w:cs="Times New Roman"/>
          <w:sz w:val="28"/>
          <w:szCs w:val="28"/>
        </w:rPr>
        <w:t>подвергли критике организацию</w:t>
      </w:r>
      <w:r w:rsidR="00820D4A">
        <w:rPr>
          <w:rFonts w:ascii="Times New Roman" w:hAnsi="Times New Roman" w:cs="Times New Roman"/>
          <w:sz w:val="28"/>
          <w:szCs w:val="28"/>
        </w:rPr>
        <w:t xml:space="preserve"> </w:t>
      </w:r>
      <w:r w:rsidR="00820D4A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705440">
        <w:rPr>
          <w:rFonts w:ascii="Times New Roman" w:hAnsi="Times New Roman" w:cs="Times New Roman"/>
          <w:sz w:val="28"/>
          <w:szCs w:val="28"/>
        </w:rPr>
        <w:t>.</w:t>
      </w:r>
    </w:p>
    <w:p w:rsidR="005A6327" w:rsidRPr="00381055" w:rsidRDefault="008A32A0" w:rsidP="0038105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проце</w:t>
      </w:r>
      <w:r w:rsidR="00141E01">
        <w:rPr>
          <w:rFonts w:ascii="Times New Roman" w:hAnsi="Times New Roman" w:cs="Times New Roman"/>
          <w:sz w:val="28"/>
          <w:szCs w:val="28"/>
        </w:rPr>
        <w:t xml:space="preserve">дура </w:t>
      </w:r>
      <w:r w:rsidR="0005125D">
        <w:rPr>
          <w:rFonts w:ascii="Times New Roman" w:hAnsi="Times New Roman" w:cs="Times New Roman"/>
          <w:sz w:val="28"/>
          <w:szCs w:val="28"/>
        </w:rPr>
        <w:t xml:space="preserve">рассмотрения заявок на гранты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Pr="008A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затянутым</w:t>
      </w:r>
      <w:r w:rsidR="002D11F2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омпани</w:t>
      </w:r>
      <w:r w:rsidR="00F352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2AE">
        <w:rPr>
          <w:rFonts w:ascii="Times New Roman" w:hAnsi="Times New Roman" w:cs="Times New Roman"/>
          <w:sz w:val="28"/>
          <w:szCs w:val="28"/>
        </w:rPr>
        <w:t>желающей</w:t>
      </w:r>
      <w:r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F352AE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>, необходимо</w:t>
      </w:r>
      <w:r w:rsidR="00B04A31">
        <w:rPr>
          <w:rFonts w:ascii="Times New Roman" w:hAnsi="Times New Roman" w:cs="Times New Roman"/>
          <w:sz w:val="28"/>
          <w:szCs w:val="28"/>
        </w:rPr>
        <w:t xml:space="preserve"> заполнить бланки</w:t>
      </w:r>
      <w:r w:rsidR="00A20557">
        <w:rPr>
          <w:rFonts w:ascii="Times New Roman" w:hAnsi="Times New Roman" w:cs="Times New Roman"/>
          <w:sz w:val="28"/>
          <w:szCs w:val="28"/>
        </w:rPr>
        <w:t xml:space="preserve"> с множеством вопросов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1702A">
        <w:rPr>
          <w:rFonts w:ascii="Times New Roman" w:hAnsi="Times New Roman" w:cs="Times New Roman"/>
          <w:sz w:val="28"/>
          <w:szCs w:val="28"/>
        </w:rPr>
        <w:t>может занять от</w:t>
      </w:r>
      <w:r>
        <w:rPr>
          <w:rFonts w:ascii="Times New Roman" w:hAnsi="Times New Roman" w:cs="Times New Roman"/>
          <w:sz w:val="28"/>
          <w:szCs w:val="28"/>
        </w:rPr>
        <w:t xml:space="preserve"> недели до месяца.</w:t>
      </w:r>
      <w:r w:rsidR="00A20557">
        <w:rPr>
          <w:rFonts w:ascii="Times New Roman" w:hAnsi="Times New Roman" w:cs="Times New Roman"/>
          <w:sz w:val="28"/>
          <w:szCs w:val="28"/>
        </w:rPr>
        <w:t xml:space="preserve"> Для </w:t>
      </w:r>
      <w:r w:rsidR="00FB721B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A20557">
        <w:rPr>
          <w:rFonts w:ascii="Times New Roman" w:hAnsi="Times New Roman" w:cs="Times New Roman"/>
          <w:sz w:val="28"/>
          <w:szCs w:val="28"/>
        </w:rPr>
        <w:t xml:space="preserve"> подобное занятие может быть менее полезным, чем </w:t>
      </w:r>
      <w:r w:rsidR="00F1702A">
        <w:rPr>
          <w:rFonts w:ascii="Times New Roman" w:hAnsi="Times New Roman" w:cs="Times New Roman"/>
          <w:sz w:val="28"/>
          <w:szCs w:val="28"/>
        </w:rPr>
        <w:t xml:space="preserve">удаление внимание </w:t>
      </w:r>
      <w:r w:rsidR="00A20557">
        <w:rPr>
          <w:rFonts w:ascii="Times New Roman" w:hAnsi="Times New Roman" w:cs="Times New Roman"/>
          <w:sz w:val="28"/>
          <w:szCs w:val="28"/>
        </w:rPr>
        <w:t>разработк</w:t>
      </w:r>
      <w:r w:rsidR="00F1702A">
        <w:rPr>
          <w:rFonts w:ascii="Times New Roman" w:hAnsi="Times New Roman" w:cs="Times New Roman"/>
          <w:sz w:val="28"/>
          <w:szCs w:val="28"/>
        </w:rPr>
        <w:t>е</w:t>
      </w:r>
      <w:r w:rsidR="00A20557">
        <w:rPr>
          <w:rFonts w:ascii="Times New Roman" w:hAnsi="Times New Roman" w:cs="Times New Roman"/>
          <w:sz w:val="28"/>
          <w:szCs w:val="28"/>
        </w:rPr>
        <w:t xml:space="preserve"> </w:t>
      </w:r>
      <w:r w:rsidR="00A00CB3">
        <w:rPr>
          <w:rFonts w:ascii="Times New Roman" w:hAnsi="Times New Roman" w:cs="Times New Roman"/>
          <w:sz w:val="28"/>
          <w:szCs w:val="28"/>
        </w:rPr>
        <w:t xml:space="preserve">прототипа </w:t>
      </w:r>
      <w:r w:rsidR="00A20557">
        <w:rPr>
          <w:rFonts w:ascii="Times New Roman" w:hAnsi="Times New Roman" w:cs="Times New Roman"/>
          <w:sz w:val="28"/>
          <w:szCs w:val="28"/>
        </w:rPr>
        <w:t>нового продукта.</w:t>
      </w:r>
      <w:r w:rsidR="00DF6D38">
        <w:rPr>
          <w:rFonts w:ascii="Times New Roman" w:hAnsi="Times New Roman" w:cs="Times New Roman"/>
          <w:sz w:val="28"/>
          <w:szCs w:val="28"/>
        </w:rPr>
        <w:t xml:space="preserve"> Бюрократический процесс не должен </w:t>
      </w:r>
      <w:r w:rsidR="002D11F2">
        <w:rPr>
          <w:rFonts w:ascii="Times New Roman" w:hAnsi="Times New Roman" w:cs="Times New Roman"/>
          <w:sz w:val="28"/>
          <w:szCs w:val="28"/>
        </w:rPr>
        <w:t>играть роль</w:t>
      </w:r>
      <w:r w:rsidR="00DF6D38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2D11F2">
        <w:rPr>
          <w:rFonts w:ascii="Times New Roman" w:hAnsi="Times New Roman" w:cs="Times New Roman"/>
          <w:sz w:val="28"/>
          <w:szCs w:val="28"/>
        </w:rPr>
        <w:t>а</w:t>
      </w:r>
      <w:r w:rsidR="00DF6D38">
        <w:rPr>
          <w:rFonts w:ascii="Times New Roman" w:hAnsi="Times New Roman" w:cs="Times New Roman"/>
          <w:sz w:val="28"/>
          <w:szCs w:val="28"/>
        </w:rPr>
        <w:t xml:space="preserve"> выбора одного</w:t>
      </w:r>
      <w:r w:rsidR="002D11F2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DF6D38">
        <w:rPr>
          <w:rFonts w:ascii="Times New Roman" w:hAnsi="Times New Roman" w:cs="Times New Roman"/>
          <w:sz w:val="28"/>
          <w:szCs w:val="28"/>
        </w:rPr>
        <w:t xml:space="preserve"> из ста многообещающих инновационных проектов.</w:t>
      </w:r>
      <w:r w:rsidR="00F039EB">
        <w:rPr>
          <w:rFonts w:ascii="Times New Roman" w:hAnsi="Times New Roman" w:cs="Times New Roman"/>
          <w:sz w:val="28"/>
          <w:szCs w:val="28"/>
        </w:rPr>
        <w:t xml:space="preserve"> </w:t>
      </w:r>
      <w:r w:rsidR="00381055">
        <w:rPr>
          <w:rFonts w:ascii="Times New Roman" w:hAnsi="Times New Roman" w:cs="Times New Roman"/>
          <w:sz w:val="28"/>
          <w:szCs w:val="28"/>
        </w:rPr>
        <w:t xml:space="preserve"> </w:t>
      </w:r>
      <w:r w:rsidR="005A6327">
        <w:rPr>
          <w:rFonts w:ascii="Times New Roman" w:hAnsi="Times New Roman" w:cs="Times New Roman"/>
          <w:sz w:val="28"/>
          <w:szCs w:val="28"/>
        </w:rPr>
        <w:t>Другим вызовом, который вытекает из проблемы выбора победителей, является несклонность к риску осуществления инновационных идей. Как показал опрос, большинство предпринимателей предпочитает менее рискованные проекты, когда речь идет о внедрении новых идей.</w:t>
      </w:r>
    </w:p>
    <w:p w:rsidR="00452D92" w:rsidRDefault="00643792" w:rsidP="00B82B6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5C24B5">
        <w:rPr>
          <w:rFonts w:ascii="Times New Roman" w:hAnsi="Times New Roman" w:cs="Times New Roman"/>
          <w:sz w:val="28"/>
          <w:szCs w:val="28"/>
        </w:rPr>
        <w:t xml:space="preserve"> того,</w:t>
      </w:r>
      <w:r w:rsidR="008C38CE">
        <w:rPr>
          <w:rFonts w:ascii="Times New Roman" w:hAnsi="Times New Roman" w:cs="Times New Roman"/>
          <w:sz w:val="28"/>
          <w:szCs w:val="28"/>
        </w:rPr>
        <w:t xml:space="preserve"> число желающих участвовать в </w:t>
      </w:r>
      <w:r w:rsidR="005C24B5">
        <w:rPr>
          <w:rFonts w:ascii="Times New Roman" w:hAnsi="Times New Roman" w:cs="Times New Roman"/>
          <w:sz w:val="28"/>
          <w:szCs w:val="28"/>
        </w:rPr>
        <w:t xml:space="preserve"> </w:t>
      </w:r>
      <w:r w:rsidR="008C38C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C38CE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8C38CE" w:rsidRPr="008C38CE">
        <w:rPr>
          <w:rFonts w:ascii="Times New Roman" w:hAnsi="Times New Roman" w:cs="Times New Roman"/>
          <w:sz w:val="28"/>
          <w:szCs w:val="28"/>
        </w:rPr>
        <w:t xml:space="preserve"> </w:t>
      </w:r>
      <w:r w:rsidR="0058445E">
        <w:rPr>
          <w:rFonts w:ascii="Times New Roman" w:hAnsi="Times New Roman" w:cs="Times New Roman"/>
          <w:sz w:val="28"/>
          <w:szCs w:val="28"/>
        </w:rPr>
        <w:t>чрезмерно</w:t>
      </w:r>
      <w:r w:rsidR="008C38CE">
        <w:rPr>
          <w:rFonts w:ascii="Times New Roman" w:hAnsi="Times New Roman" w:cs="Times New Roman"/>
          <w:sz w:val="28"/>
          <w:szCs w:val="28"/>
        </w:rPr>
        <w:t xml:space="preserve"> велико</w:t>
      </w:r>
      <w:r w:rsidR="009233E4">
        <w:rPr>
          <w:rFonts w:ascii="Times New Roman" w:hAnsi="Times New Roman" w:cs="Times New Roman"/>
          <w:sz w:val="28"/>
          <w:szCs w:val="28"/>
        </w:rPr>
        <w:t xml:space="preserve">. В результате, </w:t>
      </w:r>
      <w:r w:rsidR="00C364D6">
        <w:rPr>
          <w:rFonts w:ascii="Times New Roman" w:hAnsi="Times New Roman" w:cs="Times New Roman"/>
          <w:sz w:val="28"/>
          <w:szCs w:val="28"/>
        </w:rPr>
        <w:t xml:space="preserve">велико число </w:t>
      </w:r>
      <w:r w:rsidR="009233E4">
        <w:rPr>
          <w:rFonts w:ascii="Times New Roman" w:hAnsi="Times New Roman" w:cs="Times New Roman"/>
          <w:sz w:val="28"/>
          <w:szCs w:val="28"/>
        </w:rPr>
        <w:t xml:space="preserve">компаний, которые затратили свое время и усилия, но не прошли этапы отбора, остаются недовольными. </w:t>
      </w:r>
      <w:r w:rsidR="00680AB4">
        <w:rPr>
          <w:rFonts w:ascii="Times New Roman" w:hAnsi="Times New Roman" w:cs="Times New Roman"/>
          <w:sz w:val="28"/>
          <w:szCs w:val="28"/>
        </w:rPr>
        <w:t xml:space="preserve">На начало 2013 г.  </w:t>
      </w:r>
      <w:r w:rsidR="00680AB4" w:rsidRPr="00C364D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80AB4" w:rsidRPr="00C364D6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680AB4" w:rsidRPr="00C364D6">
        <w:rPr>
          <w:rFonts w:ascii="Times New Roman" w:hAnsi="Times New Roman" w:cs="Times New Roman"/>
          <w:sz w:val="28"/>
          <w:szCs w:val="28"/>
        </w:rPr>
        <w:t xml:space="preserve"> составил 450 млн. </w:t>
      </w:r>
      <w:r w:rsidR="009942D7" w:rsidRPr="00C364D6">
        <w:rPr>
          <w:rFonts w:ascii="Times New Roman" w:hAnsi="Times New Roman" w:cs="Times New Roman"/>
          <w:sz w:val="28"/>
          <w:szCs w:val="28"/>
        </w:rPr>
        <w:t xml:space="preserve">фунтов, который включает в себя также </w:t>
      </w:r>
      <w:r w:rsidR="00C364D6" w:rsidRPr="00C364D6">
        <w:rPr>
          <w:rFonts w:ascii="Times New Roman" w:hAnsi="Times New Roman" w:cs="Times New Roman"/>
          <w:sz w:val="28"/>
          <w:szCs w:val="28"/>
        </w:rPr>
        <w:t>схемы выдачи</w:t>
      </w:r>
      <w:r w:rsidR="00816856" w:rsidRPr="00C364D6">
        <w:rPr>
          <w:rFonts w:ascii="Times New Roman" w:hAnsi="Times New Roman" w:cs="Times New Roman"/>
          <w:sz w:val="28"/>
          <w:szCs w:val="28"/>
        </w:rPr>
        <w:t xml:space="preserve"> грантов.</w:t>
      </w:r>
      <w:r w:rsidR="00417864" w:rsidRPr="00C364D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417864">
        <w:rPr>
          <w:rFonts w:ascii="Times New Roman" w:hAnsi="Times New Roman" w:cs="Times New Roman"/>
          <w:sz w:val="28"/>
          <w:szCs w:val="28"/>
        </w:rPr>
        <w:t xml:space="preserve"> 2012 г. через систему грантов </w:t>
      </w:r>
      <w:r w:rsidR="0041786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417864" w:rsidRPr="00417864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417864">
        <w:rPr>
          <w:rFonts w:ascii="Times New Roman" w:hAnsi="Times New Roman" w:cs="Times New Roman"/>
          <w:sz w:val="28"/>
          <w:szCs w:val="28"/>
        </w:rPr>
        <w:t xml:space="preserve">технологической стратегии </w:t>
      </w:r>
      <w:r w:rsidR="00542859">
        <w:rPr>
          <w:rFonts w:ascii="Times New Roman" w:hAnsi="Times New Roman" w:cs="Times New Roman"/>
          <w:sz w:val="28"/>
          <w:szCs w:val="28"/>
        </w:rPr>
        <w:t>было выделены средства на сумму 20,8 млн.</w:t>
      </w:r>
      <w:r w:rsidR="00626522">
        <w:rPr>
          <w:rFonts w:ascii="Times New Roman" w:hAnsi="Times New Roman" w:cs="Times New Roman"/>
          <w:sz w:val="28"/>
          <w:szCs w:val="28"/>
        </w:rPr>
        <w:t xml:space="preserve"> </w:t>
      </w:r>
      <w:r w:rsidR="00542859">
        <w:rPr>
          <w:rFonts w:ascii="Times New Roman" w:hAnsi="Times New Roman" w:cs="Times New Roman"/>
          <w:sz w:val="28"/>
          <w:szCs w:val="28"/>
        </w:rPr>
        <w:t>фунтов 133 компаниям по всей Великобритании, 28 из которых были направлены в Лондон.</w:t>
      </w:r>
      <w:r w:rsidR="005C56FC">
        <w:rPr>
          <w:rStyle w:val="a3"/>
          <w:rFonts w:ascii="Times New Roman" w:hAnsi="Times New Roman"/>
          <w:sz w:val="28"/>
          <w:szCs w:val="28"/>
        </w:rPr>
        <w:footnoteReference w:id="57"/>
      </w:r>
      <w:r w:rsid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C364D6">
        <w:rPr>
          <w:rFonts w:ascii="Times New Roman" w:hAnsi="Times New Roman" w:cs="Times New Roman"/>
          <w:sz w:val="28"/>
          <w:szCs w:val="28"/>
        </w:rPr>
        <w:t>Учитывая, что о</w:t>
      </w:r>
      <w:r w:rsidR="00C14E11">
        <w:rPr>
          <w:rFonts w:ascii="Times New Roman" w:hAnsi="Times New Roman" w:cs="Times New Roman"/>
          <w:sz w:val="28"/>
          <w:szCs w:val="28"/>
        </w:rPr>
        <w:t>бщее ч</w:t>
      </w:r>
      <w:r w:rsidR="00575463">
        <w:rPr>
          <w:rFonts w:ascii="Times New Roman" w:hAnsi="Times New Roman" w:cs="Times New Roman"/>
          <w:sz w:val="28"/>
          <w:szCs w:val="28"/>
        </w:rPr>
        <w:t xml:space="preserve">исло поданных заявок </w:t>
      </w:r>
      <w:r w:rsidR="008E1363">
        <w:rPr>
          <w:rFonts w:ascii="Times New Roman" w:hAnsi="Times New Roman" w:cs="Times New Roman"/>
          <w:sz w:val="28"/>
          <w:szCs w:val="28"/>
        </w:rPr>
        <w:t>для</w:t>
      </w:r>
      <w:r w:rsidR="006F4257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59053E">
        <w:rPr>
          <w:rFonts w:ascii="Times New Roman" w:hAnsi="Times New Roman" w:cs="Times New Roman"/>
          <w:sz w:val="28"/>
          <w:szCs w:val="28"/>
        </w:rPr>
        <w:t>я</w:t>
      </w:r>
      <w:r w:rsidR="006F4257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C364D6">
        <w:rPr>
          <w:rFonts w:ascii="Times New Roman" w:hAnsi="Times New Roman" w:cs="Times New Roman"/>
          <w:sz w:val="28"/>
          <w:szCs w:val="28"/>
        </w:rPr>
        <w:t>колебалось в диапазоне</w:t>
      </w:r>
      <w:r w:rsidR="00575463">
        <w:rPr>
          <w:rFonts w:ascii="Times New Roman" w:hAnsi="Times New Roman" w:cs="Times New Roman"/>
          <w:sz w:val="28"/>
          <w:szCs w:val="28"/>
        </w:rPr>
        <w:t xml:space="preserve"> от 300 до 400 на этап</w:t>
      </w:r>
      <w:r w:rsidR="00C364D6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575463">
        <w:rPr>
          <w:rFonts w:ascii="Times New Roman" w:hAnsi="Times New Roman" w:cs="Times New Roman"/>
          <w:sz w:val="28"/>
          <w:szCs w:val="28"/>
        </w:rPr>
        <w:t>, из шести</w:t>
      </w:r>
      <w:r w:rsidR="0059053E">
        <w:rPr>
          <w:rFonts w:ascii="Times New Roman" w:hAnsi="Times New Roman" w:cs="Times New Roman"/>
          <w:sz w:val="28"/>
          <w:szCs w:val="28"/>
        </w:rPr>
        <w:t xml:space="preserve"> проводимых в год</w:t>
      </w:r>
      <w:r w:rsidR="00C364D6">
        <w:rPr>
          <w:rFonts w:ascii="Times New Roman" w:hAnsi="Times New Roman" w:cs="Times New Roman"/>
          <w:sz w:val="28"/>
          <w:szCs w:val="28"/>
        </w:rPr>
        <w:t xml:space="preserve">, </w:t>
      </w:r>
      <w:r w:rsidR="00626522">
        <w:rPr>
          <w:rFonts w:ascii="Times New Roman" w:hAnsi="Times New Roman" w:cs="Times New Roman"/>
          <w:sz w:val="28"/>
          <w:szCs w:val="28"/>
        </w:rPr>
        <w:t>лишь</w:t>
      </w:r>
      <w:r w:rsidR="00137D87">
        <w:rPr>
          <w:rFonts w:ascii="Times New Roman" w:hAnsi="Times New Roman" w:cs="Times New Roman"/>
          <w:sz w:val="28"/>
          <w:szCs w:val="28"/>
        </w:rPr>
        <w:t xml:space="preserve"> 5,5% из участвующих компании</w:t>
      </w:r>
      <w:r w:rsidR="00626522">
        <w:rPr>
          <w:rFonts w:ascii="Times New Roman" w:hAnsi="Times New Roman" w:cs="Times New Roman"/>
          <w:sz w:val="28"/>
          <w:szCs w:val="28"/>
        </w:rPr>
        <w:t xml:space="preserve"> получили гранты</w:t>
      </w:r>
      <w:r w:rsidR="00137D87">
        <w:rPr>
          <w:rFonts w:ascii="Times New Roman" w:hAnsi="Times New Roman" w:cs="Times New Roman"/>
          <w:sz w:val="28"/>
          <w:szCs w:val="28"/>
        </w:rPr>
        <w:t>.</w:t>
      </w:r>
      <w:r w:rsidR="008744BE">
        <w:rPr>
          <w:rFonts w:ascii="Times New Roman" w:hAnsi="Times New Roman" w:cs="Times New Roman"/>
          <w:sz w:val="28"/>
          <w:szCs w:val="28"/>
        </w:rPr>
        <w:t xml:space="preserve"> С другой стороны, инициатива </w:t>
      </w:r>
      <w:r w:rsidR="008744BE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8744BE" w:rsidRPr="00820D4A">
        <w:rPr>
          <w:rFonts w:ascii="Times New Roman" w:hAnsi="Times New Roman" w:cs="Times New Roman"/>
          <w:sz w:val="28"/>
          <w:szCs w:val="28"/>
        </w:rPr>
        <w:t xml:space="preserve"> </w:t>
      </w:r>
      <w:r w:rsidR="008744BE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8744BE" w:rsidRPr="00820D4A">
        <w:rPr>
          <w:rFonts w:ascii="Times New Roman" w:hAnsi="Times New Roman" w:cs="Times New Roman"/>
          <w:sz w:val="28"/>
          <w:szCs w:val="28"/>
        </w:rPr>
        <w:t xml:space="preserve"> </w:t>
      </w:r>
      <w:r w:rsidR="008744BE">
        <w:rPr>
          <w:rFonts w:ascii="Times New Roman" w:hAnsi="Times New Roman" w:cs="Times New Roman"/>
          <w:sz w:val="28"/>
          <w:szCs w:val="28"/>
          <w:lang w:val="en-US"/>
        </w:rPr>
        <w:t>Launchpad</w:t>
      </w:r>
      <w:r w:rsidR="008744BE">
        <w:rPr>
          <w:rFonts w:ascii="Times New Roman" w:hAnsi="Times New Roman" w:cs="Times New Roman"/>
          <w:sz w:val="28"/>
          <w:szCs w:val="28"/>
        </w:rPr>
        <w:t xml:space="preserve"> имела в распоряжении 1,2 млн. фунтов для инвестирования. </w:t>
      </w:r>
    </w:p>
    <w:p w:rsidR="00852AA0" w:rsidRDefault="008B7D89" w:rsidP="00B82B6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</w:t>
      </w:r>
      <w:r w:rsidR="0087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14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Pr="0014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решили выяснить </w:t>
      </w:r>
      <w:r w:rsidR="0014187A">
        <w:rPr>
          <w:rFonts w:ascii="Times New Roman" w:hAnsi="Times New Roman" w:cs="Times New Roman"/>
          <w:sz w:val="28"/>
          <w:szCs w:val="28"/>
        </w:rPr>
        <w:t xml:space="preserve">данные напрямую у </w:t>
      </w:r>
      <w:r w:rsidR="0014187A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14187A" w:rsidRPr="0014187A">
        <w:rPr>
          <w:rFonts w:ascii="Times New Roman" w:hAnsi="Times New Roman" w:cs="Times New Roman"/>
          <w:sz w:val="28"/>
          <w:szCs w:val="28"/>
        </w:rPr>
        <w:t>,</w:t>
      </w:r>
      <w:r w:rsidR="0014187A">
        <w:rPr>
          <w:rFonts w:ascii="Times New Roman" w:hAnsi="Times New Roman" w:cs="Times New Roman"/>
          <w:sz w:val="28"/>
          <w:szCs w:val="28"/>
        </w:rPr>
        <w:t xml:space="preserve"> организация сообщила, что число поданных заявок составило 233, и только 18 компаний получили финансирование, т.е. 7%.</w:t>
      </w:r>
      <w:r w:rsidR="009E16B0">
        <w:rPr>
          <w:rStyle w:val="a3"/>
          <w:rFonts w:ascii="Times New Roman" w:hAnsi="Times New Roman"/>
          <w:sz w:val="28"/>
          <w:szCs w:val="28"/>
        </w:rPr>
        <w:footnoteReference w:id="58"/>
      </w:r>
      <w:r w:rsidR="00BB2358">
        <w:rPr>
          <w:rFonts w:ascii="Times New Roman" w:hAnsi="Times New Roman" w:cs="Times New Roman"/>
          <w:sz w:val="28"/>
          <w:szCs w:val="28"/>
        </w:rPr>
        <w:t xml:space="preserve"> </w:t>
      </w:r>
      <w:r w:rsidR="0014187A">
        <w:rPr>
          <w:rFonts w:ascii="Times New Roman" w:hAnsi="Times New Roman" w:cs="Times New Roman"/>
          <w:sz w:val="28"/>
          <w:szCs w:val="28"/>
        </w:rPr>
        <w:t xml:space="preserve">Однако ответ на запрос детальной информации о распределении доходов и расходов бюджета </w:t>
      </w:r>
      <w:r w:rsidR="0014187A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14187A">
        <w:rPr>
          <w:rFonts w:ascii="Times New Roman" w:hAnsi="Times New Roman" w:cs="Times New Roman"/>
          <w:sz w:val="28"/>
          <w:szCs w:val="28"/>
        </w:rPr>
        <w:t xml:space="preserve">, </w:t>
      </w:r>
      <w:r w:rsidR="0014187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4187A" w:rsidRPr="0014187A">
        <w:rPr>
          <w:rFonts w:ascii="Times New Roman" w:hAnsi="Times New Roman" w:cs="Times New Roman"/>
          <w:sz w:val="28"/>
          <w:szCs w:val="28"/>
        </w:rPr>
        <w:t xml:space="preserve"> </w:t>
      </w:r>
      <w:r w:rsidR="0014187A"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="0014187A" w:rsidRPr="0014187A">
        <w:rPr>
          <w:rFonts w:ascii="Times New Roman" w:hAnsi="Times New Roman" w:cs="Times New Roman"/>
          <w:sz w:val="28"/>
          <w:szCs w:val="28"/>
        </w:rPr>
        <w:t xml:space="preserve"> </w:t>
      </w:r>
      <w:r w:rsidR="00852AA0">
        <w:rPr>
          <w:rFonts w:ascii="Times New Roman" w:hAnsi="Times New Roman" w:cs="Times New Roman"/>
          <w:sz w:val="28"/>
          <w:szCs w:val="28"/>
        </w:rPr>
        <w:t>так и не получили. Все это указывает на</w:t>
      </w:r>
      <w:r w:rsidR="00C95932">
        <w:rPr>
          <w:rFonts w:ascii="Times New Roman" w:hAnsi="Times New Roman" w:cs="Times New Roman"/>
          <w:sz w:val="28"/>
          <w:szCs w:val="28"/>
        </w:rPr>
        <w:t xml:space="preserve"> бюрократию</w:t>
      </w:r>
      <w:r w:rsidR="00C95932" w:rsidRPr="00C9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32">
        <w:rPr>
          <w:rFonts w:ascii="Times New Roman" w:hAnsi="Times New Roman" w:cs="Times New Roman"/>
          <w:sz w:val="28"/>
          <w:szCs w:val="28"/>
        </w:rPr>
        <w:t xml:space="preserve">и </w:t>
      </w:r>
      <w:r w:rsidR="00852AA0">
        <w:rPr>
          <w:rFonts w:ascii="Times New Roman" w:hAnsi="Times New Roman" w:cs="Times New Roman"/>
          <w:sz w:val="28"/>
          <w:szCs w:val="28"/>
        </w:rPr>
        <w:t xml:space="preserve"> недостаточную прозрачность процесса выдачи грантов</w:t>
      </w:r>
      <w:r w:rsidR="002531C8">
        <w:rPr>
          <w:rFonts w:ascii="Times New Roman" w:hAnsi="Times New Roman" w:cs="Times New Roman"/>
          <w:sz w:val="28"/>
          <w:szCs w:val="28"/>
        </w:rPr>
        <w:t>, что значительно тормозит процесс развития сферы инноваций.</w:t>
      </w:r>
    </w:p>
    <w:p w:rsidR="003E3BA6" w:rsidRPr="00373A5B" w:rsidRDefault="003E3BA6" w:rsidP="00B82B6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проце</w:t>
      </w:r>
      <w:r w:rsidR="00C34E28">
        <w:rPr>
          <w:rFonts w:ascii="Times New Roman" w:hAnsi="Times New Roman" w:cs="Times New Roman"/>
          <w:sz w:val="28"/>
          <w:szCs w:val="28"/>
        </w:rPr>
        <w:t>дура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заявлений помогает компаниям четко сформулировать свои бизнес планы и предложение товара или услуги.</w:t>
      </w:r>
      <w:r w:rsidR="00373A5B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DF22D9">
        <w:rPr>
          <w:rFonts w:ascii="Times New Roman" w:hAnsi="Times New Roman" w:cs="Times New Roman"/>
          <w:sz w:val="28"/>
          <w:szCs w:val="28"/>
        </w:rPr>
        <w:t xml:space="preserve"> опрошенными </w:t>
      </w:r>
      <w:r w:rsidR="00373A5B">
        <w:rPr>
          <w:rFonts w:ascii="Times New Roman" w:hAnsi="Times New Roman" w:cs="Times New Roman"/>
          <w:sz w:val="28"/>
          <w:szCs w:val="28"/>
        </w:rPr>
        <w:t xml:space="preserve">не отрицается </w:t>
      </w:r>
      <w:r w:rsidR="00DF22D9">
        <w:rPr>
          <w:rFonts w:ascii="Times New Roman" w:hAnsi="Times New Roman" w:cs="Times New Roman"/>
          <w:sz w:val="28"/>
          <w:szCs w:val="28"/>
        </w:rPr>
        <w:t xml:space="preserve">ключевое место, которое занимает </w:t>
      </w:r>
      <w:r w:rsidR="00373A5B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373A5B" w:rsidRPr="00373A5B">
        <w:rPr>
          <w:rFonts w:ascii="Times New Roman" w:hAnsi="Times New Roman" w:cs="Times New Roman"/>
          <w:sz w:val="28"/>
          <w:szCs w:val="28"/>
        </w:rPr>
        <w:t xml:space="preserve"> </w:t>
      </w:r>
      <w:r w:rsidR="00373A5B">
        <w:rPr>
          <w:rFonts w:ascii="Times New Roman" w:hAnsi="Times New Roman" w:cs="Times New Roman"/>
          <w:sz w:val="28"/>
          <w:szCs w:val="28"/>
        </w:rPr>
        <w:t xml:space="preserve">в </w:t>
      </w:r>
      <w:r w:rsidR="00DF22D9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373A5B">
        <w:rPr>
          <w:rFonts w:ascii="Times New Roman" w:hAnsi="Times New Roman" w:cs="Times New Roman"/>
          <w:sz w:val="28"/>
          <w:szCs w:val="28"/>
        </w:rPr>
        <w:t xml:space="preserve">объединения и согласования деятельности </w:t>
      </w:r>
      <w:r w:rsidR="00C34E28">
        <w:rPr>
          <w:rFonts w:ascii="Times New Roman" w:hAnsi="Times New Roman" w:cs="Times New Roman"/>
          <w:sz w:val="28"/>
          <w:szCs w:val="28"/>
        </w:rPr>
        <w:t xml:space="preserve">крупных предприятий и стартапов, что значительно упрощает </w:t>
      </w:r>
      <w:r w:rsidR="00EF7B29">
        <w:rPr>
          <w:rFonts w:ascii="Times New Roman" w:hAnsi="Times New Roman" w:cs="Times New Roman"/>
          <w:sz w:val="28"/>
          <w:szCs w:val="28"/>
        </w:rPr>
        <w:t xml:space="preserve"> внедрение новых продуктов.</w:t>
      </w:r>
    </w:p>
    <w:p w:rsidR="007B53F6" w:rsidRDefault="008F75E7" w:rsidP="00B82B6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имеет место </w:t>
      </w:r>
      <w:r w:rsidR="00AA5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распыление</w:t>
      </w:r>
      <w:r w:rsidR="00AA5F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капиталовложений</w:t>
      </w:r>
      <w:r w:rsidR="000D3ED3">
        <w:rPr>
          <w:rFonts w:ascii="Times New Roman" w:hAnsi="Times New Roman" w:cs="Times New Roman"/>
          <w:sz w:val="28"/>
          <w:szCs w:val="28"/>
        </w:rPr>
        <w:t xml:space="preserve"> в программы британской инновационной политики. </w:t>
      </w:r>
      <w:r w:rsidR="005A3C83">
        <w:rPr>
          <w:rFonts w:ascii="Times New Roman" w:hAnsi="Times New Roman" w:cs="Times New Roman"/>
          <w:sz w:val="28"/>
          <w:szCs w:val="28"/>
        </w:rPr>
        <w:t xml:space="preserve">В качестве одного из ключевых направлений в стратегии Великобритании было выделено исследование графена, на что планировалось затратить </w:t>
      </w:r>
      <w:r w:rsidR="00AA5F4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5454C">
        <w:rPr>
          <w:rFonts w:ascii="Times New Roman" w:hAnsi="Times New Roman" w:cs="Times New Roman"/>
          <w:sz w:val="28"/>
          <w:szCs w:val="28"/>
        </w:rPr>
        <w:t>70 млн.</w:t>
      </w:r>
      <w:r w:rsidR="00AA5F45">
        <w:rPr>
          <w:rFonts w:ascii="Times New Roman" w:hAnsi="Times New Roman" w:cs="Times New Roman"/>
          <w:sz w:val="28"/>
          <w:szCs w:val="28"/>
        </w:rPr>
        <w:t xml:space="preserve"> </w:t>
      </w:r>
      <w:r w:rsidR="00D5454C">
        <w:rPr>
          <w:rFonts w:ascii="Times New Roman" w:hAnsi="Times New Roman" w:cs="Times New Roman"/>
          <w:sz w:val="28"/>
          <w:szCs w:val="28"/>
        </w:rPr>
        <w:t xml:space="preserve">фунтов. </w:t>
      </w:r>
      <w:r w:rsidR="00AA5F45">
        <w:rPr>
          <w:rFonts w:ascii="Times New Roman" w:hAnsi="Times New Roman" w:cs="Times New Roman"/>
          <w:sz w:val="28"/>
          <w:szCs w:val="28"/>
        </w:rPr>
        <w:t xml:space="preserve">Однако есть </w:t>
      </w:r>
      <w:r w:rsidR="009D64A0">
        <w:rPr>
          <w:rFonts w:ascii="Times New Roman" w:hAnsi="Times New Roman" w:cs="Times New Roman"/>
          <w:sz w:val="28"/>
          <w:szCs w:val="28"/>
        </w:rPr>
        <w:t>опасения,</w:t>
      </w:r>
      <w:r w:rsidR="00AA5F45">
        <w:rPr>
          <w:rFonts w:ascii="Times New Roman" w:hAnsi="Times New Roman" w:cs="Times New Roman"/>
          <w:sz w:val="28"/>
          <w:szCs w:val="28"/>
        </w:rPr>
        <w:t xml:space="preserve"> что инвестиции </w:t>
      </w:r>
      <w:r w:rsidR="00284E21">
        <w:rPr>
          <w:rFonts w:ascii="Times New Roman" w:hAnsi="Times New Roman" w:cs="Times New Roman"/>
          <w:sz w:val="28"/>
          <w:szCs w:val="28"/>
        </w:rPr>
        <w:t xml:space="preserve">распределятся таким образом, что, в конечном счете, исследование не даст результатов. </w:t>
      </w:r>
      <w:r w:rsidR="009D64A0">
        <w:rPr>
          <w:rFonts w:ascii="Times New Roman" w:hAnsi="Times New Roman" w:cs="Times New Roman"/>
          <w:sz w:val="28"/>
          <w:szCs w:val="28"/>
        </w:rPr>
        <w:t xml:space="preserve">В частности, в </w:t>
      </w:r>
      <w:r w:rsidR="00284E21">
        <w:rPr>
          <w:rFonts w:ascii="Times New Roman" w:hAnsi="Times New Roman" w:cs="Times New Roman"/>
          <w:sz w:val="28"/>
          <w:szCs w:val="28"/>
        </w:rPr>
        <w:t>Великобритании в конце 1980-х гг.</w:t>
      </w:r>
      <w:r w:rsidR="009D64A0">
        <w:rPr>
          <w:rFonts w:ascii="Times New Roman" w:hAnsi="Times New Roman" w:cs="Times New Roman"/>
          <w:sz w:val="28"/>
          <w:szCs w:val="28"/>
        </w:rPr>
        <w:t xml:space="preserve"> был случай</w:t>
      </w:r>
      <w:r w:rsidR="00284E21">
        <w:rPr>
          <w:rFonts w:ascii="Times New Roman" w:hAnsi="Times New Roman" w:cs="Times New Roman"/>
          <w:sz w:val="28"/>
          <w:szCs w:val="28"/>
        </w:rPr>
        <w:t>, когда правительство направило значительные средства на развитие сферы информационных технологий</w:t>
      </w:r>
      <w:r w:rsidR="00621C58">
        <w:rPr>
          <w:rFonts w:ascii="Times New Roman" w:hAnsi="Times New Roman" w:cs="Times New Roman"/>
          <w:sz w:val="28"/>
          <w:szCs w:val="28"/>
        </w:rPr>
        <w:t xml:space="preserve"> (программа </w:t>
      </w:r>
      <w:r w:rsidR="00621C58">
        <w:rPr>
          <w:rFonts w:ascii="Times New Roman" w:hAnsi="Times New Roman" w:cs="Times New Roman"/>
          <w:sz w:val="28"/>
          <w:szCs w:val="28"/>
          <w:lang w:val="en-US"/>
        </w:rPr>
        <w:t>Alvey</w:t>
      </w:r>
      <w:r w:rsidR="00277725">
        <w:rPr>
          <w:rFonts w:ascii="Times New Roman" w:hAnsi="Times New Roman" w:cs="Times New Roman"/>
          <w:sz w:val="28"/>
          <w:szCs w:val="28"/>
        </w:rPr>
        <w:t>)</w:t>
      </w:r>
      <w:r w:rsidR="00284E21">
        <w:rPr>
          <w:rFonts w:ascii="Times New Roman" w:hAnsi="Times New Roman" w:cs="Times New Roman"/>
          <w:sz w:val="28"/>
          <w:szCs w:val="28"/>
        </w:rPr>
        <w:t>.</w:t>
      </w:r>
      <w:r w:rsidR="004975DF">
        <w:rPr>
          <w:rFonts w:ascii="Times New Roman" w:hAnsi="Times New Roman" w:cs="Times New Roman"/>
          <w:sz w:val="28"/>
          <w:szCs w:val="28"/>
        </w:rPr>
        <w:t xml:space="preserve"> </w:t>
      </w:r>
      <w:r w:rsidR="009D64A0">
        <w:rPr>
          <w:rFonts w:ascii="Times New Roman" w:hAnsi="Times New Roman" w:cs="Times New Roman"/>
          <w:sz w:val="28"/>
          <w:szCs w:val="28"/>
        </w:rPr>
        <w:t xml:space="preserve">Но в итоге в </w:t>
      </w:r>
      <w:r w:rsidR="00277725">
        <w:rPr>
          <w:rFonts w:ascii="Times New Roman" w:hAnsi="Times New Roman" w:cs="Times New Roman"/>
          <w:sz w:val="28"/>
          <w:szCs w:val="28"/>
        </w:rPr>
        <w:t>области электроники и ИТ</w:t>
      </w:r>
      <w:r w:rsidR="009D64A0">
        <w:rPr>
          <w:rFonts w:ascii="Times New Roman" w:hAnsi="Times New Roman" w:cs="Times New Roman"/>
          <w:sz w:val="28"/>
          <w:szCs w:val="28"/>
        </w:rPr>
        <w:t xml:space="preserve"> не произошло каких-либо заметных изменений в последующие десятилетия. Подобное может случит</w:t>
      </w:r>
      <w:r w:rsidR="00277725">
        <w:rPr>
          <w:rFonts w:ascii="Times New Roman" w:hAnsi="Times New Roman" w:cs="Times New Roman"/>
          <w:sz w:val="28"/>
          <w:szCs w:val="28"/>
        </w:rPr>
        <w:t>ь</w:t>
      </w:r>
      <w:r w:rsidR="009D64A0">
        <w:rPr>
          <w:rFonts w:ascii="Times New Roman" w:hAnsi="Times New Roman" w:cs="Times New Roman"/>
          <w:sz w:val="28"/>
          <w:szCs w:val="28"/>
        </w:rPr>
        <w:t xml:space="preserve">ся </w:t>
      </w:r>
      <w:r w:rsidR="00277725">
        <w:rPr>
          <w:rFonts w:ascii="Times New Roman" w:hAnsi="Times New Roman" w:cs="Times New Roman"/>
          <w:sz w:val="28"/>
          <w:szCs w:val="28"/>
        </w:rPr>
        <w:t>не только с данным проект</w:t>
      </w:r>
      <w:r w:rsidR="000A4D97">
        <w:rPr>
          <w:rFonts w:ascii="Times New Roman" w:hAnsi="Times New Roman" w:cs="Times New Roman"/>
          <w:sz w:val="28"/>
          <w:szCs w:val="28"/>
        </w:rPr>
        <w:t xml:space="preserve">ом, </w:t>
      </w:r>
      <w:r w:rsidR="00277725">
        <w:rPr>
          <w:rFonts w:ascii="Times New Roman" w:hAnsi="Times New Roman" w:cs="Times New Roman"/>
          <w:sz w:val="28"/>
          <w:szCs w:val="28"/>
        </w:rPr>
        <w:t xml:space="preserve">но и в других </w:t>
      </w:r>
      <w:r w:rsidR="009D64A0">
        <w:rPr>
          <w:rFonts w:ascii="Times New Roman" w:hAnsi="Times New Roman" w:cs="Times New Roman"/>
          <w:sz w:val="28"/>
          <w:szCs w:val="28"/>
        </w:rPr>
        <w:t>приоритетны</w:t>
      </w:r>
      <w:r w:rsidR="000A4D97">
        <w:rPr>
          <w:rFonts w:ascii="Times New Roman" w:hAnsi="Times New Roman" w:cs="Times New Roman"/>
          <w:sz w:val="28"/>
          <w:szCs w:val="28"/>
        </w:rPr>
        <w:t xml:space="preserve">х </w:t>
      </w:r>
      <w:r w:rsidR="00277725">
        <w:rPr>
          <w:rFonts w:ascii="Times New Roman" w:hAnsi="Times New Roman" w:cs="Times New Roman"/>
          <w:sz w:val="28"/>
          <w:szCs w:val="28"/>
        </w:rPr>
        <w:t>сферах</w:t>
      </w:r>
      <w:r w:rsidR="000A4D97">
        <w:rPr>
          <w:rFonts w:ascii="Times New Roman" w:hAnsi="Times New Roman" w:cs="Times New Roman"/>
          <w:sz w:val="28"/>
          <w:szCs w:val="28"/>
        </w:rPr>
        <w:t xml:space="preserve"> инновационной политики.</w:t>
      </w:r>
    </w:p>
    <w:p w:rsidR="000B36EB" w:rsidRPr="000B36EB" w:rsidRDefault="000B36EB" w:rsidP="00B82B6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3F6" w:rsidRPr="007A66B7" w:rsidRDefault="002E4F21" w:rsidP="007A66B7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sz w:val="28"/>
        </w:rPr>
      </w:pPr>
      <w:r w:rsidRPr="007A66B7">
        <w:rPr>
          <w:rFonts w:ascii="Times New Roman" w:hAnsi="Times New Roman" w:cs="Times New Roman"/>
          <w:sz w:val="28"/>
        </w:rPr>
        <w:t>3.2. Возможные пути совершенствования инновационной политики</w:t>
      </w:r>
    </w:p>
    <w:p w:rsidR="007B53F6" w:rsidRPr="007A66B7" w:rsidRDefault="007B53F6" w:rsidP="00B82B6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</w:rPr>
      </w:pPr>
    </w:p>
    <w:p w:rsidR="00E247EC" w:rsidRPr="00E247EC" w:rsidRDefault="00666AA4" w:rsidP="00666AA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</w:t>
      </w:r>
      <w:r w:rsidR="00F25567">
        <w:rPr>
          <w:rFonts w:ascii="Times New Roman" w:hAnsi="Times New Roman" w:cs="Times New Roman"/>
          <w:sz w:val="28"/>
          <w:szCs w:val="28"/>
        </w:rPr>
        <w:t xml:space="preserve"> присутствие в системе бюрократии и ненадлежащее исполнение заявленных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F25567">
        <w:rPr>
          <w:rFonts w:ascii="Times New Roman" w:hAnsi="Times New Roman" w:cs="Times New Roman"/>
          <w:sz w:val="28"/>
          <w:szCs w:val="28"/>
        </w:rPr>
        <w:t>обязательств</w:t>
      </w:r>
      <w:r w:rsidR="00F25567" w:rsidRPr="00F25567">
        <w:rPr>
          <w:rFonts w:ascii="Times New Roman" w:hAnsi="Times New Roman" w:cs="Times New Roman"/>
          <w:sz w:val="28"/>
          <w:szCs w:val="28"/>
        </w:rPr>
        <w:t xml:space="preserve">, </w:t>
      </w:r>
      <w:r w:rsidR="00F25567">
        <w:rPr>
          <w:rFonts w:ascii="Times New Roman" w:hAnsi="Times New Roman" w:cs="Times New Roman"/>
          <w:sz w:val="28"/>
          <w:szCs w:val="28"/>
        </w:rPr>
        <w:t xml:space="preserve">тормозят процесс развития </w:t>
      </w:r>
      <w:r w:rsidR="000B36EB">
        <w:rPr>
          <w:rFonts w:ascii="Times New Roman" w:hAnsi="Times New Roman" w:cs="Times New Roman"/>
          <w:sz w:val="28"/>
          <w:szCs w:val="28"/>
        </w:rPr>
        <w:t>сферы инноваций.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FB4" w:rsidRPr="00C96E62">
        <w:rPr>
          <w:rFonts w:ascii="Times New Roman" w:hAnsi="Times New Roman" w:cs="Times New Roman"/>
          <w:sz w:val="28"/>
        </w:rPr>
        <w:t>Безусловно, у</w:t>
      </w:r>
      <w:r w:rsidR="00BE7AC2">
        <w:rPr>
          <w:rFonts w:ascii="Times New Roman" w:hAnsi="Times New Roman" w:cs="Times New Roman"/>
          <w:sz w:val="28"/>
        </w:rPr>
        <w:t xml:space="preserve">чреждение </w:t>
      </w:r>
      <w:r w:rsidR="00F25567">
        <w:rPr>
          <w:rFonts w:ascii="Times New Roman" w:hAnsi="Times New Roman" w:cs="Times New Roman"/>
          <w:sz w:val="28"/>
          <w:szCs w:val="28"/>
        </w:rPr>
        <w:t>британского государственного У</w:t>
      </w:r>
      <w:r w:rsidR="00C32FB4" w:rsidRPr="00C96E62">
        <w:rPr>
          <w:rFonts w:ascii="Times New Roman" w:hAnsi="Times New Roman" w:cs="Times New Roman"/>
          <w:sz w:val="28"/>
          <w:szCs w:val="28"/>
        </w:rPr>
        <w:t>правл</w:t>
      </w:r>
      <w:r w:rsidR="00F25567">
        <w:rPr>
          <w:rFonts w:ascii="Times New Roman" w:hAnsi="Times New Roman" w:cs="Times New Roman"/>
          <w:sz w:val="28"/>
          <w:szCs w:val="28"/>
        </w:rPr>
        <w:t xml:space="preserve">ения Технологической Стратегии </w:t>
      </w:r>
      <w:r w:rsidR="00C32FB4" w:rsidRPr="00C96E62">
        <w:rPr>
          <w:rFonts w:ascii="Times New Roman" w:hAnsi="Times New Roman" w:cs="Times New Roman"/>
          <w:sz w:val="28"/>
          <w:szCs w:val="28"/>
        </w:rPr>
        <w:t xml:space="preserve">сыграло критическую роль в преодолении т.н. проблемы </w:t>
      </w:r>
      <w:r w:rsidR="00C32FB4" w:rsidRPr="00C96E62">
        <w:rPr>
          <w:rFonts w:ascii="Times New Roman" w:hAnsi="Times New Roman" w:cs="Times New Roman"/>
          <w:sz w:val="28"/>
          <w:szCs w:val="28"/>
        </w:rPr>
        <w:lastRenderedPageBreak/>
        <w:t>«долины смерти»  и стимулировании технологической инновации в тех с</w:t>
      </w:r>
      <w:r w:rsidR="00BE7AC2">
        <w:rPr>
          <w:rFonts w:ascii="Times New Roman" w:hAnsi="Times New Roman" w:cs="Times New Roman"/>
          <w:sz w:val="28"/>
          <w:szCs w:val="28"/>
        </w:rPr>
        <w:t>ферах бизнеса</w:t>
      </w:r>
      <w:r w:rsidR="00C32FB4" w:rsidRPr="00C96E62">
        <w:rPr>
          <w:rFonts w:ascii="Times New Roman" w:hAnsi="Times New Roman" w:cs="Times New Roman"/>
          <w:sz w:val="28"/>
          <w:szCs w:val="28"/>
        </w:rPr>
        <w:t>, которые в наибольшей степени способны ускорить рост и развитие экономики страны.</w:t>
      </w:r>
      <w:r w:rsidR="00C32FB4" w:rsidRPr="00C96E62">
        <w:rPr>
          <w:rStyle w:val="a3"/>
          <w:rFonts w:ascii="Times New Roman" w:hAnsi="Times New Roman"/>
          <w:sz w:val="28"/>
          <w:szCs w:val="28"/>
        </w:rPr>
        <w:footnoteReference w:id="59"/>
      </w:r>
      <w:r w:rsidR="00C32FB4" w:rsidRPr="00C96E62">
        <w:rPr>
          <w:rFonts w:ascii="Times New Roman" w:hAnsi="Times New Roman" w:cs="Times New Roman"/>
          <w:sz w:val="28"/>
          <w:szCs w:val="28"/>
        </w:rPr>
        <w:t xml:space="preserve"> </w:t>
      </w:r>
      <w:r w:rsidR="00BE7AC2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BE7AC2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BE7AC2" w:rsidRPr="00BE7AC2">
        <w:rPr>
          <w:rFonts w:ascii="Times New Roman" w:hAnsi="Times New Roman" w:cs="Times New Roman"/>
          <w:sz w:val="28"/>
          <w:szCs w:val="28"/>
        </w:rPr>
        <w:t xml:space="preserve"> </w:t>
      </w:r>
      <w:r w:rsidR="00BE7AC2">
        <w:rPr>
          <w:rFonts w:ascii="Times New Roman" w:hAnsi="Times New Roman" w:cs="Times New Roman"/>
          <w:sz w:val="28"/>
          <w:szCs w:val="28"/>
        </w:rPr>
        <w:t xml:space="preserve">планирует усилить свою деятельность в области установления связей между компаниями различной степени зрелости, в т.ч. стартапам и возможными </w:t>
      </w:r>
      <w:r w:rsidR="00EB4046">
        <w:rPr>
          <w:rFonts w:ascii="Times New Roman" w:hAnsi="Times New Roman" w:cs="Times New Roman"/>
          <w:sz w:val="28"/>
          <w:szCs w:val="28"/>
        </w:rPr>
        <w:t>инвестора</w:t>
      </w:r>
      <w:r w:rsidR="00BE7AC2">
        <w:rPr>
          <w:rFonts w:ascii="Times New Roman" w:hAnsi="Times New Roman" w:cs="Times New Roman"/>
          <w:sz w:val="28"/>
          <w:szCs w:val="28"/>
        </w:rPr>
        <w:t>ми, которые оказывают финансовую поддержку.</w:t>
      </w:r>
    </w:p>
    <w:p w:rsidR="007B53F6" w:rsidRDefault="00E247EC" w:rsidP="00666AA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ГЧП и решения бизнесом проблем государственного сектора, сложность заключается, прежде всего, в изменении типа мышления предпринимателей,  поскольку перед ними встает задача эффективного использования средств государственного бюджета</w:t>
      </w:r>
      <w:r w:rsidR="00666AA4">
        <w:rPr>
          <w:rFonts w:ascii="Times New Roman" w:hAnsi="Times New Roman" w:cs="Times New Roman"/>
          <w:sz w:val="28"/>
          <w:szCs w:val="28"/>
        </w:rPr>
        <w:t xml:space="preserve">. </w:t>
      </w:r>
      <w:r w:rsidR="00F57202">
        <w:rPr>
          <w:rFonts w:ascii="Times New Roman" w:hAnsi="Times New Roman" w:cs="Times New Roman"/>
          <w:sz w:val="28"/>
          <w:szCs w:val="28"/>
        </w:rPr>
        <w:t>В качестве р</w:t>
      </w:r>
      <w:r w:rsidR="00DF1182">
        <w:rPr>
          <w:rFonts w:ascii="Times New Roman" w:hAnsi="Times New Roman" w:cs="Times New Roman"/>
          <w:sz w:val="28"/>
          <w:szCs w:val="28"/>
        </w:rPr>
        <w:t>ешения проблемы, связанной с</w:t>
      </w:r>
      <w:r w:rsidR="00877B82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F1182">
        <w:rPr>
          <w:rFonts w:ascii="Times New Roman" w:hAnsi="Times New Roman" w:cs="Times New Roman"/>
          <w:sz w:val="28"/>
          <w:szCs w:val="28"/>
        </w:rPr>
        <w:t>ом</w:t>
      </w:r>
      <w:r w:rsidR="00877B82">
        <w:rPr>
          <w:rFonts w:ascii="Times New Roman" w:hAnsi="Times New Roman" w:cs="Times New Roman"/>
          <w:sz w:val="28"/>
          <w:szCs w:val="28"/>
        </w:rPr>
        <w:t xml:space="preserve"> </w:t>
      </w:r>
      <w:r w:rsidR="00DF1182">
        <w:rPr>
          <w:rFonts w:ascii="Times New Roman" w:hAnsi="Times New Roman" w:cs="Times New Roman"/>
          <w:sz w:val="28"/>
          <w:szCs w:val="28"/>
        </w:rPr>
        <w:t xml:space="preserve">получателя гранта будет целесообразно сформировать более </w:t>
      </w:r>
      <w:r w:rsidR="0017220A">
        <w:rPr>
          <w:rFonts w:ascii="Times New Roman" w:hAnsi="Times New Roman" w:cs="Times New Roman"/>
          <w:sz w:val="28"/>
          <w:szCs w:val="28"/>
        </w:rPr>
        <w:t>согласованное управление</w:t>
      </w:r>
      <w:r w:rsidR="008C7978">
        <w:rPr>
          <w:rFonts w:ascii="Times New Roman" w:hAnsi="Times New Roman" w:cs="Times New Roman"/>
          <w:sz w:val="28"/>
          <w:szCs w:val="28"/>
        </w:rPr>
        <w:t xml:space="preserve">. Возможно, правительство </w:t>
      </w:r>
      <w:r w:rsidR="003D48F1">
        <w:rPr>
          <w:rFonts w:ascii="Times New Roman" w:hAnsi="Times New Roman" w:cs="Times New Roman"/>
          <w:sz w:val="28"/>
          <w:szCs w:val="28"/>
        </w:rPr>
        <w:t>на данном этапе еще</w:t>
      </w:r>
      <w:r w:rsidR="008C7978">
        <w:rPr>
          <w:rFonts w:ascii="Times New Roman" w:hAnsi="Times New Roman" w:cs="Times New Roman"/>
          <w:sz w:val="28"/>
          <w:szCs w:val="28"/>
        </w:rPr>
        <w:t xml:space="preserve"> способно эффективно выбирать перспе</w:t>
      </w:r>
      <w:r w:rsidR="003D48F1">
        <w:rPr>
          <w:rFonts w:ascii="Times New Roman" w:hAnsi="Times New Roman" w:cs="Times New Roman"/>
          <w:sz w:val="28"/>
          <w:szCs w:val="28"/>
        </w:rPr>
        <w:t>ктивные инновационные проекты, но по</w:t>
      </w:r>
      <w:r w:rsidR="008C7978">
        <w:rPr>
          <w:rFonts w:ascii="Times New Roman" w:hAnsi="Times New Roman" w:cs="Times New Roman"/>
          <w:sz w:val="28"/>
          <w:szCs w:val="28"/>
        </w:rPr>
        <w:t xml:space="preserve"> крайней мере необходимо, чтобы </w:t>
      </w:r>
      <w:r w:rsidR="003D48F1">
        <w:rPr>
          <w:rFonts w:ascii="Times New Roman" w:hAnsi="Times New Roman" w:cs="Times New Roman"/>
          <w:sz w:val="28"/>
          <w:szCs w:val="28"/>
        </w:rPr>
        <w:t xml:space="preserve">имел место риск. </w:t>
      </w:r>
      <w:r w:rsidR="00F72C35">
        <w:rPr>
          <w:rFonts w:ascii="Times New Roman" w:hAnsi="Times New Roman" w:cs="Times New Roman"/>
          <w:sz w:val="28"/>
          <w:szCs w:val="28"/>
        </w:rPr>
        <w:t xml:space="preserve">Без осуществления инвестиций в </w:t>
      </w:r>
      <w:r w:rsidR="0067713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72C35">
        <w:rPr>
          <w:rFonts w:ascii="Times New Roman" w:hAnsi="Times New Roman" w:cs="Times New Roman"/>
          <w:sz w:val="28"/>
          <w:szCs w:val="28"/>
        </w:rPr>
        <w:t>рискованные проекты</w:t>
      </w:r>
      <w:r w:rsidR="00677135">
        <w:rPr>
          <w:rFonts w:ascii="Times New Roman" w:hAnsi="Times New Roman" w:cs="Times New Roman"/>
          <w:sz w:val="28"/>
          <w:szCs w:val="28"/>
        </w:rPr>
        <w:t xml:space="preserve"> вполне возможно,</w:t>
      </w:r>
      <w:r w:rsidR="00F72C35">
        <w:rPr>
          <w:rFonts w:ascii="Times New Roman" w:hAnsi="Times New Roman" w:cs="Times New Roman"/>
          <w:sz w:val="28"/>
          <w:szCs w:val="28"/>
        </w:rPr>
        <w:t xml:space="preserve"> </w:t>
      </w:r>
      <w:r w:rsidR="00677135">
        <w:rPr>
          <w:rFonts w:ascii="Times New Roman" w:hAnsi="Times New Roman" w:cs="Times New Roman"/>
          <w:sz w:val="28"/>
          <w:szCs w:val="28"/>
        </w:rPr>
        <w:t xml:space="preserve">что </w:t>
      </w:r>
      <w:r w:rsidR="00677135">
        <w:rPr>
          <w:rFonts w:ascii="Times New Roman" w:hAnsi="Times New Roman" w:cs="Times New Roman"/>
          <w:sz w:val="28"/>
          <w:szCs w:val="28"/>
          <w:lang w:val="en-US"/>
        </w:rPr>
        <w:t>TSB</w:t>
      </w:r>
      <w:r w:rsidR="00677135" w:rsidRPr="00677135">
        <w:rPr>
          <w:rFonts w:ascii="Times New Roman" w:hAnsi="Times New Roman" w:cs="Times New Roman"/>
          <w:sz w:val="28"/>
          <w:szCs w:val="28"/>
        </w:rPr>
        <w:t xml:space="preserve"> </w:t>
      </w:r>
      <w:r w:rsidR="00F72C35">
        <w:rPr>
          <w:rFonts w:ascii="Times New Roman" w:hAnsi="Times New Roman" w:cs="Times New Roman"/>
          <w:sz w:val="28"/>
          <w:szCs w:val="28"/>
        </w:rPr>
        <w:t>упускае</w:t>
      </w:r>
      <w:r w:rsidR="00677135">
        <w:rPr>
          <w:rFonts w:ascii="Times New Roman" w:hAnsi="Times New Roman" w:cs="Times New Roman"/>
          <w:sz w:val="28"/>
          <w:szCs w:val="28"/>
        </w:rPr>
        <w:t>т</w:t>
      </w:r>
      <w:r w:rsidR="00F72C35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677135">
        <w:rPr>
          <w:rFonts w:ascii="Times New Roman" w:hAnsi="Times New Roman" w:cs="Times New Roman"/>
          <w:sz w:val="28"/>
          <w:szCs w:val="28"/>
        </w:rPr>
        <w:t>воплотить в идею амбициозные проекты предприятий, которые в долгосрочной перспективы могут принести выгоды в большей степени, чем идеи с меньшим уровнем риска.</w:t>
      </w:r>
    </w:p>
    <w:p w:rsidR="00C11D26" w:rsidRDefault="00C11D26" w:rsidP="00666AA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распыления инвестиций возможно решить наиболее целесообразным использованием средств</w:t>
      </w:r>
      <w:r w:rsidR="0070074C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юджетное финансирование науки Великобритании в ближайшее десятилетие составит более 5 млрд. фунтов. и они не должны подлежать перераспределению на иные цели.</w:t>
      </w:r>
      <w:r w:rsidR="0044505E">
        <w:rPr>
          <w:rStyle w:val="a3"/>
          <w:rFonts w:ascii="Times New Roman" w:hAnsi="Times New Roman"/>
          <w:sz w:val="28"/>
          <w:szCs w:val="28"/>
        </w:rPr>
        <w:footnoteReference w:id="60"/>
      </w:r>
    </w:p>
    <w:p w:rsidR="00B95AC7" w:rsidRPr="00666AA4" w:rsidRDefault="0070074C" w:rsidP="0064379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ближайшие 10 лет</w:t>
      </w:r>
      <w:r w:rsidR="00AF1886">
        <w:rPr>
          <w:rFonts w:ascii="Times New Roman" w:hAnsi="Times New Roman" w:cs="Times New Roman"/>
          <w:sz w:val="28"/>
          <w:szCs w:val="28"/>
        </w:rPr>
        <w:t xml:space="preserve"> приоритетным направлением инновационной политики будет оставаться сокращение длительности «инновационной цепочки. Если раньше делался акцент на установление связей между различными участниками инновационного процесса, то сейчас, в условиях снижения затрат на ИР, упор должен делаться на помощи МСП в процессе доведения проектов до стадии коммерциализации. </w:t>
      </w:r>
      <w:r w:rsidR="00B95AC7">
        <w:rPr>
          <w:rFonts w:ascii="Times New Roman" w:hAnsi="Times New Roman" w:cs="Times New Roman"/>
          <w:sz w:val="28"/>
          <w:szCs w:val="28"/>
        </w:rPr>
        <w:t xml:space="preserve">Кроме того, в перечень основных отраслевых приоритетов инновационной политики также должны входить направления по </w:t>
      </w:r>
      <w:r w:rsidR="00FD157E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FD157E">
        <w:rPr>
          <w:rFonts w:ascii="Times New Roman" w:hAnsi="Times New Roman" w:cs="Times New Roman"/>
          <w:sz w:val="28"/>
          <w:szCs w:val="28"/>
        </w:rPr>
        <w:lastRenderedPageBreak/>
        <w:t>устойчивого развития в экономике Великобритании, где центральное место занимают альтернативные источники энергии и «зеленая» экономика.</w:t>
      </w:r>
    </w:p>
    <w:p w:rsidR="00746D4B" w:rsidRDefault="00643792" w:rsidP="0064379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по сравнению с 2004 г. в Великобритании возросло число мер и механизмов государственной поддержки сферы инновационной деятельности, что </w:t>
      </w:r>
    </w:p>
    <w:p w:rsidR="00746D4B" w:rsidRPr="003D48F1" w:rsidRDefault="00746D4B" w:rsidP="00746D4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</w:rPr>
      </w:pPr>
    </w:p>
    <w:p w:rsidR="007A66B7" w:rsidRPr="003D48F1" w:rsidRDefault="007A66B7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A66B7" w:rsidRPr="003D48F1" w:rsidRDefault="007A66B7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A66B7" w:rsidRPr="003D48F1" w:rsidRDefault="007A66B7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A66B7" w:rsidRPr="003D48F1" w:rsidRDefault="007A66B7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A66B7" w:rsidRPr="003D48F1" w:rsidRDefault="007A66B7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C1186" w:rsidRDefault="00BC1186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C1186" w:rsidRDefault="00BC1186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0074C" w:rsidRDefault="0070074C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576F2" w:rsidRPr="00694C30" w:rsidRDefault="00A576F2" w:rsidP="00B82B6B">
      <w:pPr>
        <w:tabs>
          <w:tab w:val="left" w:pos="55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B53F6" w:rsidRPr="007A66B7" w:rsidRDefault="007B53F6" w:rsidP="00B82B6B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7A66B7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7B53F6" w:rsidRDefault="001002AB" w:rsidP="00B82B6B">
      <w:pPr>
        <w:spacing w:line="360" w:lineRule="auto"/>
        <w:ind w:left="-851" w:firstLine="851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0B36EB">
        <w:rPr>
          <w:rFonts w:ascii="Times New Roman" w:hAnsi="Times New Roman" w:cs="Times New Roman"/>
          <w:i/>
          <w:sz w:val="28"/>
        </w:rPr>
        <w:t>Беспокойство и неудовлетворенность – непременны</w:t>
      </w:r>
      <w:r w:rsidR="00155C59">
        <w:rPr>
          <w:rFonts w:ascii="Times New Roman" w:hAnsi="Times New Roman" w:cs="Times New Roman"/>
          <w:i/>
          <w:sz w:val="28"/>
        </w:rPr>
        <w:t>е условия дальнейшего прогресса</w:t>
      </w:r>
      <w:r>
        <w:rPr>
          <w:rFonts w:ascii="Times New Roman" w:hAnsi="Times New Roman" w:cs="Times New Roman"/>
          <w:i/>
          <w:sz w:val="28"/>
        </w:rPr>
        <w:t>»</w:t>
      </w:r>
    </w:p>
    <w:p w:rsidR="000B36EB" w:rsidRDefault="000B36EB" w:rsidP="00B82B6B">
      <w:pPr>
        <w:spacing w:line="360" w:lineRule="auto"/>
        <w:ind w:left="-851" w:firstLine="851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Т.Эдисон</w:t>
      </w:r>
    </w:p>
    <w:p w:rsidR="00CB6264" w:rsidRPr="00D175F8" w:rsidRDefault="0092636E" w:rsidP="007A66B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92636E">
        <w:rPr>
          <w:rFonts w:ascii="Times New Roman" w:hAnsi="Times New Roman" w:cs="Times New Roman"/>
          <w:sz w:val="28"/>
        </w:rPr>
        <w:t xml:space="preserve">Построение инновационной экономики уже давно стало одной из </w:t>
      </w:r>
      <w:r w:rsidR="00517864">
        <w:rPr>
          <w:rFonts w:ascii="Times New Roman" w:hAnsi="Times New Roman" w:cs="Times New Roman"/>
          <w:sz w:val="28"/>
        </w:rPr>
        <w:t>главных</w:t>
      </w:r>
      <w:r w:rsidRPr="0092636E">
        <w:rPr>
          <w:rFonts w:ascii="Times New Roman" w:hAnsi="Times New Roman" w:cs="Times New Roman"/>
          <w:sz w:val="28"/>
        </w:rPr>
        <w:t xml:space="preserve"> целей</w:t>
      </w:r>
      <w:r w:rsidR="00D175F8" w:rsidRPr="00D175F8">
        <w:rPr>
          <w:rFonts w:ascii="Times New Roman" w:hAnsi="Times New Roman" w:cs="Times New Roman"/>
          <w:sz w:val="28"/>
        </w:rPr>
        <w:t xml:space="preserve"> </w:t>
      </w:r>
      <w:r w:rsidR="00D175F8">
        <w:rPr>
          <w:rFonts w:ascii="Times New Roman" w:hAnsi="Times New Roman" w:cs="Times New Roman"/>
          <w:sz w:val="28"/>
        </w:rPr>
        <w:t xml:space="preserve">правительства </w:t>
      </w:r>
      <w:r w:rsidRPr="0092636E">
        <w:rPr>
          <w:rFonts w:ascii="Times New Roman" w:hAnsi="Times New Roman" w:cs="Times New Roman"/>
          <w:sz w:val="28"/>
        </w:rPr>
        <w:t>Великобритании.</w:t>
      </w:r>
      <w:r>
        <w:rPr>
          <w:rFonts w:ascii="Times New Roman" w:hAnsi="Times New Roman" w:cs="Times New Roman"/>
          <w:sz w:val="28"/>
        </w:rPr>
        <w:t xml:space="preserve"> </w:t>
      </w:r>
      <w:r w:rsidR="00634835">
        <w:rPr>
          <w:rFonts w:ascii="Times New Roman" w:hAnsi="Times New Roman" w:cs="Times New Roman"/>
          <w:sz w:val="28"/>
        </w:rPr>
        <w:t>Основными направлениями</w:t>
      </w:r>
      <w:r w:rsidR="00B0677E">
        <w:rPr>
          <w:rFonts w:ascii="Times New Roman" w:hAnsi="Times New Roman" w:cs="Times New Roman"/>
          <w:sz w:val="28"/>
        </w:rPr>
        <w:t xml:space="preserve"> действующей инновационной</w:t>
      </w:r>
      <w:r w:rsidR="00634835">
        <w:rPr>
          <w:rFonts w:ascii="Times New Roman" w:hAnsi="Times New Roman" w:cs="Times New Roman"/>
          <w:sz w:val="28"/>
        </w:rPr>
        <w:t xml:space="preserve"> политики </w:t>
      </w:r>
      <w:r w:rsidR="00B0677E">
        <w:rPr>
          <w:rFonts w:ascii="Times New Roman" w:hAnsi="Times New Roman" w:cs="Times New Roman"/>
          <w:sz w:val="28"/>
        </w:rPr>
        <w:t>является создание</w:t>
      </w:r>
      <w:r w:rsidR="00634835">
        <w:rPr>
          <w:rFonts w:ascii="Times New Roman" w:hAnsi="Times New Roman" w:cs="Times New Roman"/>
          <w:sz w:val="28"/>
        </w:rPr>
        <w:t xml:space="preserve"> </w:t>
      </w:r>
      <w:r w:rsidR="00B0677E">
        <w:rPr>
          <w:rFonts w:ascii="Times New Roman" w:hAnsi="Times New Roman" w:cs="Times New Roman"/>
          <w:sz w:val="28"/>
        </w:rPr>
        <w:t>благоприятных условий для осуществления инновационной деятельности</w:t>
      </w:r>
      <w:r w:rsidR="005E0036">
        <w:rPr>
          <w:rFonts w:ascii="Times New Roman" w:hAnsi="Times New Roman" w:cs="Times New Roman"/>
          <w:sz w:val="28"/>
        </w:rPr>
        <w:t xml:space="preserve">, </w:t>
      </w:r>
      <w:r w:rsidR="00D175F8">
        <w:rPr>
          <w:rFonts w:ascii="Times New Roman" w:hAnsi="Times New Roman" w:cs="Times New Roman"/>
          <w:sz w:val="28"/>
        </w:rPr>
        <w:t xml:space="preserve">повышение </w:t>
      </w:r>
      <w:r w:rsidR="005E0036">
        <w:rPr>
          <w:rFonts w:ascii="Times New Roman" w:hAnsi="Times New Roman" w:cs="Times New Roman"/>
          <w:sz w:val="28"/>
        </w:rPr>
        <w:t>поддержки</w:t>
      </w:r>
      <w:r w:rsidR="005E0036" w:rsidRPr="005E0036">
        <w:rPr>
          <w:rFonts w:ascii="Times New Roman" w:hAnsi="Times New Roman" w:cs="Times New Roman"/>
          <w:sz w:val="28"/>
        </w:rPr>
        <w:t xml:space="preserve"> </w:t>
      </w:r>
      <w:r w:rsidR="005E0036">
        <w:rPr>
          <w:rFonts w:ascii="Times New Roman" w:hAnsi="Times New Roman" w:cs="Times New Roman"/>
          <w:sz w:val="28"/>
        </w:rPr>
        <w:t xml:space="preserve">государственным сектором бизнеса </w:t>
      </w:r>
      <w:r w:rsidR="00F43211">
        <w:rPr>
          <w:rFonts w:ascii="Times New Roman" w:hAnsi="Times New Roman" w:cs="Times New Roman"/>
          <w:sz w:val="28"/>
        </w:rPr>
        <w:t>на разных стадиях зрелости,</w:t>
      </w:r>
      <w:r w:rsidR="00DF5BC4">
        <w:rPr>
          <w:rFonts w:ascii="Times New Roman" w:hAnsi="Times New Roman" w:cs="Times New Roman"/>
          <w:sz w:val="28"/>
        </w:rPr>
        <w:t xml:space="preserve"> доведение идей до стадии коммерциализации,</w:t>
      </w:r>
      <w:r w:rsidR="00F43211">
        <w:rPr>
          <w:rFonts w:ascii="Times New Roman" w:hAnsi="Times New Roman" w:cs="Times New Roman"/>
          <w:sz w:val="28"/>
        </w:rPr>
        <w:t xml:space="preserve"> проведение инноваций в государственном секторе и т.д.</w:t>
      </w:r>
    </w:p>
    <w:p w:rsidR="008C183B" w:rsidRDefault="00B0677E" w:rsidP="007A66B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74A97">
        <w:rPr>
          <w:rFonts w:ascii="Times New Roman" w:hAnsi="Times New Roman" w:cs="Times New Roman"/>
          <w:sz w:val="28"/>
        </w:rPr>
        <w:t>В</w:t>
      </w:r>
      <w:r w:rsidR="0092636E">
        <w:rPr>
          <w:rFonts w:ascii="Times New Roman" w:hAnsi="Times New Roman" w:cs="Times New Roman"/>
          <w:sz w:val="28"/>
        </w:rPr>
        <w:t xml:space="preserve"> настоящее время в </w:t>
      </w:r>
      <w:r w:rsidR="00517864">
        <w:rPr>
          <w:rFonts w:ascii="Times New Roman" w:hAnsi="Times New Roman" w:cs="Times New Roman"/>
          <w:sz w:val="28"/>
        </w:rPr>
        <w:t xml:space="preserve">экономике страны </w:t>
      </w:r>
      <w:r w:rsidR="0092636E">
        <w:rPr>
          <w:rFonts w:ascii="Times New Roman" w:hAnsi="Times New Roman" w:cs="Times New Roman"/>
          <w:sz w:val="28"/>
        </w:rPr>
        <w:t xml:space="preserve">наблюдается </w:t>
      </w:r>
      <w:r w:rsidR="00CF2448">
        <w:rPr>
          <w:rFonts w:ascii="Times New Roman" w:hAnsi="Times New Roman" w:cs="Times New Roman"/>
          <w:sz w:val="28"/>
        </w:rPr>
        <w:t xml:space="preserve">относительно </w:t>
      </w:r>
      <w:r w:rsidR="0092636E">
        <w:rPr>
          <w:rFonts w:ascii="Times New Roman" w:hAnsi="Times New Roman" w:cs="Times New Roman"/>
          <w:sz w:val="28"/>
        </w:rPr>
        <w:t xml:space="preserve">нестабильная ситуация, и приоритетным для правительства </w:t>
      </w:r>
      <w:r w:rsidR="00517864">
        <w:rPr>
          <w:rFonts w:ascii="Times New Roman" w:hAnsi="Times New Roman" w:cs="Times New Roman"/>
          <w:sz w:val="28"/>
        </w:rPr>
        <w:t xml:space="preserve">является </w:t>
      </w:r>
      <w:r w:rsidR="0092636E">
        <w:rPr>
          <w:rFonts w:ascii="Times New Roman" w:hAnsi="Times New Roman" w:cs="Times New Roman"/>
          <w:sz w:val="28"/>
        </w:rPr>
        <w:t>решение</w:t>
      </w:r>
      <w:r w:rsidR="00517864">
        <w:rPr>
          <w:rFonts w:ascii="Times New Roman" w:hAnsi="Times New Roman" w:cs="Times New Roman"/>
          <w:sz w:val="28"/>
        </w:rPr>
        <w:t xml:space="preserve"> таких макроэкономических проблем, как высокий уровень инфляции и безработицы, </w:t>
      </w:r>
      <w:r w:rsidR="00874A97">
        <w:rPr>
          <w:rFonts w:ascii="Times New Roman" w:hAnsi="Times New Roman" w:cs="Times New Roman"/>
          <w:sz w:val="28"/>
        </w:rPr>
        <w:t>сокращение дефицита государственного бюджета и т.д. Тем не менее, реализации инновационной политик</w:t>
      </w:r>
      <w:r w:rsidR="00CF2448">
        <w:rPr>
          <w:rFonts w:ascii="Times New Roman" w:hAnsi="Times New Roman" w:cs="Times New Roman"/>
          <w:sz w:val="28"/>
        </w:rPr>
        <w:t>и</w:t>
      </w:r>
      <w:r w:rsidR="00874A97">
        <w:rPr>
          <w:rFonts w:ascii="Times New Roman" w:hAnsi="Times New Roman" w:cs="Times New Roman"/>
          <w:sz w:val="28"/>
        </w:rPr>
        <w:t xml:space="preserve"> и отслеживани</w:t>
      </w:r>
      <w:r w:rsidR="00FD49F7">
        <w:rPr>
          <w:rFonts w:ascii="Times New Roman" w:hAnsi="Times New Roman" w:cs="Times New Roman"/>
          <w:sz w:val="28"/>
        </w:rPr>
        <w:t>е</w:t>
      </w:r>
      <w:r w:rsidR="00874A97">
        <w:rPr>
          <w:rFonts w:ascii="Times New Roman" w:hAnsi="Times New Roman" w:cs="Times New Roman"/>
          <w:sz w:val="28"/>
        </w:rPr>
        <w:t xml:space="preserve"> </w:t>
      </w:r>
      <w:r w:rsidR="00CF2448">
        <w:rPr>
          <w:rFonts w:ascii="Times New Roman" w:hAnsi="Times New Roman" w:cs="Times New Roman"/>
          <w:sz w:val="28"/>
        </w:rPr>
        <w:t>ее результатов</w:t>
      </w:r>
      <w:r w:rsidR="00FD49F7">
        <w:rPr>
          <w:rFonts w:ascii="Times New Roman" w:hAnsi="Times New Roman" w:cs="Times New Roman"/>
          <w:sz w:val="28"/>
        </w:rPr>
        <w:t xml:space="preserve"> не уходят на второй план</w:t>
      </w:r>
      <w:r w:rsidR="00CF2448">
        <w:rPr>
          <w:rFonts w:ascii="Times New Roman" w:hAnsi="Times New Roman" w:cs="Times New Roman"/>
          <w:sz w:val="28"/>
        </w:rPr>
        <w:t xml:space="preserve">. </w:t>
      </w:r>
      <w:r w:rsidR="002E00F4">
        <w:rPr>
          <w:rFonts w:ascii="Times New Roman" w:hAnsi="Times New Roman" w:cs="Times New Roman"/>
          <w:sz w:val="28"/>
        </w:rPr>
        <w:t xml:space="preserve">Урегулирование текущих социально-экономических проблем тесно связано с существующими  </w:t>
      </w:r>
      <w:r w:rsidR="006F4CD4">
        <w:rPr>
          <w:rFonts w:ascii="Times New Roman" w:hAnsi="Times New Roman" w:cs="Times New Roman"/>
          <w:sz w:val="28"/>
        </w:rPr>
        <w:t>вызовами</w:t>
      </w:r>
      <w:r w:rsidR="002E00F4">
        <w:rPr>
          <w:rFonts w:ascii="Times New Roman" w:hAnsi="Times New Roman" w:cs="Times New Roman"/>
          <w:sz w:val="28"/>
        </w:rPr>
        <w:t xml:space="preserve"> </w:t>
      </w:r>
      <w:r w:rsidR="006F4CD4">
        <w:rPr>
          <w:rFonts w:ascii="Times New Roman" w:hAnsi="Times New Roman" w:cs="Times New Roman"/>
          <w:sz w:val="28"/>
        </w:rPr>
        <w:t xml:space="preserve">в </w:t>
      </w:r>
      <w:r w:rsidR="002E00F4">
        <w:rPr>
          <w:rFonts w:ascii="Times New Roman" w:hAnsi="Times New Roman" w:cs="Times New Roman"/>
          <w:sz w:val="28"/>
        </w:rPr>
        <w:t xml:space="preserve">инновационной политики </w:t>
      </w:r>
      <w:r w:rsidR="006F4CD4">
        <w:rPr>
          <w:rFonts w:ascii="Times New Roman" w:hAnsi="Times New Roman" w:cs="Times New Roman"/>
          <w:sz w:val="28"/>
        </w:rPr>
        <w:t>Великобритании, и решение проблем в одной сфере приводит к урегулированию связанных проблем в другой.</w:t>
      </w:r>
      <w:r w:rsidR="00FE2145">
        <w:rPr>
          <w:rFonts w:ascii="Times New Roman" w:hAnsi="Times New Roman" w:cs="Times New Roman"/>
          <w:sz w:val="28"/>
        </w:rPr>
        <w:t xml:space="preserve"> Так,</w:t>
      </w:r>
      <w:r w:rsidR="007A66B7">
        <w:rPr>
          <w:rFonts w:ascii="Times New Roman" w:hAnsi="Times New Roman" w:cs="Times New Roman"/>
          <w:sz w:val="28"/>
        </w:rPr>
        <w:t xml:space="preserve"> к примеру, </w:t>
      </w:r>
      <w:r w:rsidR="00FE2145">
        <w:rPr>
          <w:rFonts w:ascii="Times New Roman" w:hAnsi="Times New Roman" w:cs="Times New Roman"/>
          <w:sz w:val="28"/>
        </w:rPr>
        <w:t xml:space="preserve"> </w:t>
      </w:r>
      <w:r w:rsidR="007A66B7">
        <w:rPr>
          <w:rFonts w:ascii="Times New Roman" w:hAnsi="Times New Roman" w:cs="Times New Roman"/>
          <w:sz w:val="28"/>
        </w:rPr>
        <w:t xml:space="preserve">уменьшение бюджетного дефицита </w:t>
      </w:r>
      <w:r w:rsidR="006F4CD4">
        <w:rPr>
          <w:rFonts w:ascii="Times New Roman" w:hAnsi="Times New Roman" w:cs="Times New Roman"/>
          <w:sz w:val="28"/>
        </w:rPr>
        <w:t xml:space="preserve">Великобритании </w:t>
      </w:r>
      <w:r w:rsidR="007A66B7">
        <w:rPr>
          <w:rFonts w:ascii="Times New Roman" w:hAnsi="Times New Roman" w:cs="Times New Roman"/>
          <w:sz w:val="28"/>
        </w:rPr>
        <w:t xml:space="preserve">может привести к росту затрат на ИР. </w:t>
      </w:r>
    </w:p>
    <w:p w:rsidR="002E2498" w:rsidRDefault="00891CDE" w:rsidP="00891CD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 сделан вывод, что английская </w:t>
      </w:r>
      <w:r w:rsidR="002E2498" w:rsidRPr="0092636E">
        <w:rPr>
          <w:rFonts w:ascii="Times New Roman" w:hAnsi="Times New Roman" w:cs="Times New Roman"/>
          <w:sz w:val="28"/>
          <w:szCs w:val="28"/>
        </w:rPr>
        <w:t xml:space="preserve">равительственная стратегия делает наибольший акцент </w:t>
      </w:r>
      <w:r w:rsidR="00DF5BC4">
        <w:rPr>
          <w:rFonts w:ascii="Times New Roman" w:hAnsi="Times New Roman" w:cs="Times New Roman"/>
          <w:sz w:val="28"/>
          <w:szCs w:val="28"/>
        </w:rPr>
        <w:t xml:space="preserve">практически на все сферы, где применяются технологии: начиная возобновляемой </w:t>
      </w:r>
      <w:r w:rsidR="002E2498" w:rsidRPr="00C96E62">
        <w:rPr>
          <w:rFonts w:ascii="Times New Roman" w:hAnsi="Times New Roman" w:cs="Times New Roman"/>
          <w:sz w:val="28"/>
          <w:szCs w:val="28"/>
        </w:rPr>
        <w:t>энерги</w:t>
      </w:r>
      <w:r w:rsidR="00DF5BC4">
        <w:rPr>
          <w:rFonts w:ascii="Times New Roman" w:hAnsi="Times New Roman" w:cs="Times New Roman"/>
          <w:sz w:val="28"/>
          <w:szCs w:val="28"/>
        </w:rPr>
        <w:t xml:space="preserve">ей и медициной и заканчивая космическими исследованиями. </w:t>
      </w:r>
      <w:r w:rsidR="002E2498" w:rsidRPr="00C96E6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в ближайшее десятилетие будет стремится к усилению целенаправленной</w:t>
      </w:r>
      <w:r w:rsidR="002E2498" w:rsidRPr="00C96E6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2498" w:rsidRPr="00C96E62">
        <w:rPr>
          <w:rFonts w:ascii="Times New Roman" w:hAnsi="Times New Roman" w:cs="Times New Roman"/>
          <w:sz w:val="28"/>
          <w:szCs w:val="28"/>
        </w:rPr>
        <w:t xml:space="preserve"> </w:t>
      </w:r>
      <w:r w:rsidR="00DF5BC4">
        <w:rPr>
          <w:rFonts w:ascii="Times New Roman" w:hAnsi="Times New Roman" w:cs="Times New Roman"/>
          <w:sz w:val="28"/>
          <w:szCs w:val="28"/>
        </w:rPr>
        <w:t xml:space="preserve">в большинстве секторах экономики, </w:t>
      </w:r>
      <w:r w:rsidR="002E2498" w:rsidRPr="00C96E62">
        <w:rPr>
          <w:rFonts w:ascii="Times New Roman" w:hAnsi="Times New Roman" w:cs="Times New Roman"/>
          <w:sz w:val="28"/>
          <w:szCs w:val="28"/>
        </w:rPr>
        <w:t>стимулир</w:t>
      </w:r>
      <w:r>
        <w:rPr>
          <w:rFonts w:ascii="Times New Roman" w:hAnsi="Times New Roman" w:cs="Times New Roman"/>
          <w:sz w:val="28"/>
          <w:szCs w:val="28"/>
        </w:rPr>
        <w:t>уя</w:t>
      </w:r>
      <w:r w:rsidR="002E2498" w:rsidRPr="00C96E62">
        <w:rPr>
          <w:rFonts w:ascii="Times New Roman" w:hAnsi="Times New Roman" w:cs="Times New Roman"/>
          <w:sz w:val="28"/>
          <w:szCs w:val="28"/>
        </w:rPr>
        <w:t xml:space="preserve"> развитие инновационной сферы посредством выдачи грантов, осуществления закупок инновационных товаров и услуг, а также запуском высокотехнологических центров</w:t>
      </w:r>
      <w:r w:rsidR="005364F9">
        <w:rPr>
          <w:rFonts w:ascii="Times New Roman" w:hAnsi="Times New Roman" w:cs="Times New Roman"/>
          <w:sz w:val="28"/>
          <w:szCs w:val="28"/>
        </w:rPr>
        <w:t>.</w:t>
      </w:r>
      <w:r w:rsidR="00472419">
        <w:rPr>
          <w:rFonts w:ascii="Times New Roman" w:hAnsi="Times New Roman" w:cs="Times New Roman"/>
          <w:sz w:val="28"/>
          <w:szCs w:val="28"/>
        </w:rPr>
        <w:t xml:space="preserve"> В целом, можно отметить, что ряд мер и </w:t>
      </w:r>
      <w:r w:rsidR="00472419">
        <w:rPr>
          <w:rFonts w:ascii="Times New Roman" w:hAnsi="Times New Roman" w:cs="Times New Roman"/>
          <w:sz w:val="28"/>
          <w:szCs w:val="28"/>
        </w:rPr>
        <w:lastRenderedPageBreak/>
        <w:t>инструментов поддержки инновационной сферы, на фоне сокращения затрат на ИР, за последние годы значительно расширился.</w:t>
      </w:r>
    </w:p>
    <w:p w:rsidR="00B82B6B" w:rsidRDefault="002E2498" w:rsidP="00891CD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2C5E">
        <w:rPr>
          <w:rFonts w:ascii="Times New Roman" w:hAnsi="Times New Roman" w:cs="Times New Roman"/>
          <w:sz w:val="28"/>
        </w:rPr>
        <w:t xml:space="preserve">В России на настоящий момент не сложились условия для </w:t>
      </w:r>
      <w:r w:rsidR="00891CDE">
        <w:rPr>
          <w:rFonts w:ascii="Times New Roman" w:hAnsi="Times New Roman" w:cs="Times New Roman"/>
          <w:sz w:val="28"/>
        </w:rPr>
        <w:t>осуществления успешной</w:t>
      </w:r>
      <w:r w:rsidR="00222C5E">
        <w:rPr>
          <w:rFonts w:ascii="Times New Roman" w:hAnsi="Times New Roman" w:cs="Times New Roman"/>
          <w:sz w:val="28"/>
        </w:rPr>
        <w:t xml:space="preserve"> инноваци</w:t>
      </w:r>
      <w:r w:rsidR="00891CDE">
        <w:rPr>
          <w:rFonts w:ascii="Times New Roman" w:hAnsi="Times New Roman" w:cs="Times New Roman"/>
          <w:sz w:val="28"/>
        </w:rPr>
        <w:t>онной деятельности</w:t>
      </w:r>
      <w:r w:rsidR="00222C5E">
        <w:rPr>
          <w:rFonts w:ascii="Times New Roman" w:hAnsi="Times New Roman" w:cs="Times New Roman"/>
          <w:sz w:val="28"/>
        </w:rPr>
        <w:t xml:space="preserve">. </w:t>
      </w:r>
      <w:r w:rsidR="0006325B">
        <w:rPr>
          <w:rFonts w:ascii="Times New Roman" w:hAnsi="Times New Roman" w:cs="Times New Roman"/>
          <w:sz w:val="28"/>
        </w:rPr>
        <w:t xml:space="preserve">Международный опыт, в </w:t>
      </w:r>
      <w:r w:rsidR="00891CDE">
        <w:rPr>
          <w:rFonts w:ascii="Times New Roman" w:hAnsi="Times New Roman" w:cs="Times New Roman"/>
          <w:sz w:val="28"/>
        </w:rPr>
        <w:t xml:space="preserve">данном случае </w:t>
      </w:r>
      <w:r w:rsidR="00222C5E">
        <w:rPr>
          <w:rFonts w:ascii="Times New Roman" w:hAnsi="Times New Roman" w:cs="Times New Roman"/>
          <w:sz w:val="28"/>
        </w:rPr>
        <w:t>Великобритани</w:t>
      </w:r>
      <w:r w:rsidR="0006325B">
        <w:rPr>
          <w:rFonts w:ascii="Times New Roman" w:hAnsi="Times New Roman" w:cs="Times New Roman"/>
          <w:sz w:val="28"/>
        </w:rPr>
        <w:t xml:space="preserve">и, </w:t>
      </w:r>
      <w:r w:rsidR="00222C5E">
        <w:rPr>
          <w:rFonts w:ascii="Times New Roman" w:hAnsi="Times New Roman" w:cs="Times New Roman"/>
          <w:sz w:val="28"/>
        </w:rPr>
        <w:t xml:space="preserve">может послужить хорошим </w:t>
      </w:r>
      <w:r w:rsidR="00222C5E" w:rsidRPr="00472419">
        <w:rPr>
          <w:rFonts w:ascii="Times New Roman" w:hAnsi="Times New Roman" w:cs="Times New Roman"/>
          <w:sz w:val="28"/>
        </w:rPr>
        <w:t>примером</w:t>
      </w:r>
      <w:r w:rsidR="00891CDE">
        <w:rPr>
          <w:rFonts w:ascii="Times New Roman" w:hAnsi="Times New Roman" w:cs="Times New Roman"/>
          <w:sz w:val="28"/>
        </w:rPr>
        <w:t xml:space="preserve"> развития инновационной сферы</w:t>
      </w:r>
      <w:r w:rsidR="00472419" w:rsidRPr="00472419">
        <w:rPr>
          <w:rFonts w:ascii="Times New Roman" w:hAnsi="Times New Roman" w:cs="Times New Roman"/>
          <w:sz w:val="28"/>
        </w:rPr>
        <w:t xml:space="preserve">. </w:t>
      </w:r>
      <w:r w:rsidR="0006325B" w:rsidRPr="00472419">
        <w:rPr>
          <w:rFonts w:ascii="Times New Roman" w:hAnsi="Times New Roman" w:cs="Times New Roman"/>
          <w:sz w:val="28"/>
        </w:rPr>
        <w:t xml:space="preserve">В </w:t>
      </w:r>
      <w:r w:rsidR="00472419">
        <w:rPr>
          <w:rFonts w:ascii="Times New Roman" w:hAnsi="Times New Roman" w:cs="Times New Roman"/>
          <w:sz w:val="28"/>
        </w:rPr>
        <w:t xml:space="preserve">нашей </w:t>
      </w:r>
      <w:r w:rsidR="0006325B" w:rsidRPr="00472419">
        <w:rPr>
          <w:rFonts w:ascii="Times New Roman" w:hAnsi="Times New Roman" w:cs="Times New Roman"/>
          <w:sz w:val="28"/>
        </w:rPr>
        <w:t>стране</w:t>
      </w:r>
      <w:r w:rsidR="0006325B">
        <w:rPr>
          <w:rFonts w:ascii="Times New Roman" w:hAnsi="Times New Roman" w:cs="Times New Roman"/>
          <w:sz w:val="28"/>
        </w:rPr>
        <w:t xml:space="preserve"> необходимо сформировать иное отношение к науке и инновациям, а решающую роль в данном процессе играет политика государства.</w:t>
      </w:r>
      <w:r w:rsidR="00891CDE">
        <w:rPr>
          <w:rFonts w:ascii="Times New Roman" w:hAnsi="Times New Roman" w:cs="Times New Roman"/>
          <w:sz w:val="28"/>
        </w:rPr>
        <w:t xml:space="preserve"> </w:t>
      </w:r>
      <w:r w:rsidR="00E72F1D">
        <w:rPr>
          <w:rFonts w:ascii="Times New Roman" w:hAnsi="Times New Roman" w:cs="Times New Roman"/>
          <w:sz w:val="28"/>
        </w:rPr>
        <w:t>П</w:t>
      </w:r>
      <w:r w:rsidR="001D24DF">
        <w:rPr>
          <w:rFonts w:ascii="Times New Roman" w:hAnsi="Times New Roman" w:cs="Times New Roman"/>
          <w:sz w:val="28"/>
        </w:rPr>
        <w:t xml:space="preserve">ервым </w:t>
      </w:r>
      <w:r w:rsidR="00E72F1D">
        <w:rPr>
          <w:rFonts w:ascii="Times New Roman" w:hAnsi="Times New Roman" w:cs="Times New Roman"/>
          <w:sz w:val="28"/>
        </w:rPr>
        <w:t xml:space="preserve">шагом </w:t>
      </w:r>
      <w:r w:rsidR="00891CDE">
        <w:rPr>
          <w:rFonts w:ascii="Times New Roman" w:hAnsi="Times New Roman" w:cs="Times New Roman"/>
          <w:sz w:val="28"/>
        </w:rPr>
        <w:t xml:space="preserve">на пути к начатой в России </w:t>
      </w:r>
      <w:r w:rsidR="001D24DF">
        <w:rPr>
          <w:rFonts w:ascii="Times New Roman" w:hAnsi="Times New Roman" w:cs="Times New Roman"/>
          <w:sz w:val="28"/>
        </w:rPr>
        <w:t xml:space="preserve">модернизации </w:t>
      </w:r>
      <w:r w:rsidR="00891CDE">
        <w:rPr>
          <w:rFonts w:ascii="Times New Roman" w:hAnsi="Times New Roman" w:cs="Times New Roman"/>
          <w:sz w:val="28"/>
        </w:rPr>
        <w:t>может быть</w:t>
      </w:r>
      <w:r w:rsidR="00E72F1D">
        <w:rPr>
          <w:rFonts w:ascii="Times New Roman" w:hAnsi="Times New Roman" w:cs="Times New Roman"/>
          <w:sz w:val="28"/>
        </w:rPr>
        <w:t xml:space="preserve"> создание благоприятного климата государством для </w:t>
      </w:r>
      <w:r w:rsidR="00AA3415">
        <w:rPr>
          <w:rFonts w:ascii="Times New Roman" w:hAnsi="Times New Roman" w:cs="Times New Roman"/>
          <w:sz w:val="28"/>
        </w:rPr>
        <w:t>инновационных проектов</w:t>
      </w:r>
      <w:r w:rsidR="00891CDE">
        <w:rPr>
          <w:rFonts w:ascii="Times New Roman" w:hAnsi="Times New Roman" w:cs="Times New Roman"/>
          <w:sz w:val="28"/>
        </w:rPr>
        <w:t xml:space="preserve"> в бизнесе и образовательном секторе.</w:t>
      </w:r>
      <w:r w:rsidR="00AA3415">
        <w:rPr>
          <w:rFonts w:ascii="Times New Roman" w:hAnsi="Times New Roman" w:cs="Times New Roman"/>
          <w:sz w:val="28"/>
        </w:rPr>
        <w:t xml:space="preserve"> </w:t>
      </w:r>
      <w:r w:rsidR="00891CDE">
        <w:rPr>
          <w:rFonts w:ascii="Times New Roman" w:hAnsi="Times New Roman" w:cs="Times New Roman"/>
          <w:sz w:val="28"/>
        </w:rPr>
        <w:t>Страна все еще</w:t>
      </w:r>
      <w:r w:rsidR="00AA3415">
        <w:rPr>
          <w:rFonts w:ascii="Times New Roman" w:hAnsi="Times New Roman" w:cs="Times New Roman"/>
          <w:sz w:val="28"/>
        </w:rPr>
        <w:t xml:space="preserve"> остается уязвимой,</w:t>
      </w:r>
      <w:r w:rsidR="00891CDE">
        <w:rPr>
          <w:rFonts w:ascii="Times New Roman" w:hAnsi="Times New Roman" w:cs="Times New Roman"/>
          <w:sz w:val="28"/>
        </w:rPr>
        <w:t xml:space="preserve"> поскольку</w:t>
      </w:r>
      <w:r w:rsidR="00AA3415">
        <w:rPr>
          <w:rFonts w:ascii="Times New Roman" w:hAnsi="Times New Roman" w:cs="Times New Roman"/>
          <w:sz w:val="28"/>
        </w:rPr>
        <w:t xml:space="preserve"> необходимо избавиться от зависимости от цен на нефть. С каждым годом традиционное сырье может стать все менее востребованным по сравнению с новым направлением мировой э</w:t>
      </w:r>
      <w:r w:rsidR="00891CDE">
        <w:rPr>
          <w:rFonts w:ascii="Times New Roman" w:hAnsi="Times New Roman" w:cs="Times New Roman"/>
          <w:sz w:val="28"/>
        </w:rPr>
        <w:t>кономики –</w:t>
      </w:r>
      <w:r w:rsidR="00AA3415">
        <w:rPr>
          <w:rFonts w:ascii="Times New Roman" w:hAnsi="Times New Roman" w:cs="Times New Roman"/>
          <w:sz w:val="28"/>
        </w:rPr>
        <w:t xml:space="preserve"> альтернативными источниками энергии. </w:t>
      </w:r>
      <w:r w:rsidR="00891CDE">
        <w:rPr>
          <w:rFonts w:ascii="Times New Roman" w:hAnsi="Times New Roman" w:cs="Times New Roman"/>
          <w:sz w:val="28"/>
        </w:rPr>
        <w:t>Проект</w:t>
      </w:r>
      <w:r w:rsidR="00915F7A">
        <w:rPr>
          <w:rFonts w:ascii="Times New Roman" w:hAnsi="Times New Roman" w:cs="Times New Roman"/>
          <w:sz w:val="28"/>
        </w:rPr>
        <w:t xml:space="preserve"> инновационного центра</w:t>
      </w:r>
      <w:r w:rsidR="002A7348">
        <w:rPr>
          <w:rFonts w:ascii="Times New Roman" w:hAnsi="Times New Roman" w:cs="Times New Roman"/>
          <w:sz w:val="28"/>
        </w:rPr>
        <w:t xml:space="preserve"> </w:t>
      </w:r>
      <w:r w:rsidR="00915F7A">
        <w:rPr>
          <w:rFonts w:ascii="Times New Roman" w:hAnsi="Times New Roman" w:cs="Times New Roman"/>
          <w:sz w:val="28"/>
        </w:rPr>
        <w:t>«</w:t>
      </w:r>
      <w:r w:rsidR="002A7348">
        <w:rPr>
          <w:rFonts w:ascii="Times New Roman" w:hAnsi="Times New Roman" w:cs="Times New Roman"/>
          <w:sz w:val="28"/>
        </w:rPr>
        <w:t>Сколково</w:t>
      </w:r>
      <w:r w:rsidR="00915F7A">
        <w:rPr>
          <w:rFonts w:ascii="Times New Roman" w:hAnsi="Times New Roman" w:cs="Times New Roman"/>
          <w:sz w:val="28"/>
        </w:rPr>
        <w:t>»</w:t>
      </w:r>
      <w:r w:rsidR="002A7348">
        <w:rPr>
          <w:rFonts w:ascii="Times New Roman" w:hAnsi="Times New Roman" w:cs="Times New Roman"/>
          <w:sz w:val="28"/>
        </w:rPr>
        <w:t xml:space="preserve"> </w:t>
      </w:r>
      <w:r w:rsidR="00915F7A">
        <w:rPr>
          <w:rFonts w:ascii="Times New Roman" w:hAnsi="Times New Roman" w:cs="Times New Roman"/>
          <w:sz w:val="28"/>
        </w:rPr>
        <w:t>имеет большие шансы на успех</w:t>
      </w:r>
      <w:r w:rsidR="002A7348">
        <w:rPr>
          <w:rFonts w:ascii="Times New Roman" w:hAnsi="Times New Roman" w:cs="Times New Roman"/>
          <w:sz w:val="28"/>
        </w:rPr>
        <w:t xml:space="preserve">, </w:t>
      </w:r>
      <w:r w:rsidR="00915F7A">
        <w:rPr>
          <w:rFonts w:ascii="Times New Roman" w:hAnsi="Times New Roman" w:cs="Times New Roman"/>
          <w:sz w:val="28"/>
        </w:rPr>
        <w:t xml:space="preserve">к конце следующего года планируется осуществить выход на рынок производимой в центре продукции, подобный </w:t>
      </w:r>
      <w:r w:rsidR="002A7348">
        <w:rPr>
          <w:rFonts w:ascii="Times New Roman" w:hAnsi="Times New Roman" w:cs="Times New Roman"/>
          <w:sz w:val="28"/>
        </w:rPr>
        <w:t xml:space="preserve">опыт можно </w:t>
      </w:r>
      <w:r w:rsidR="00915F7A">
        <w:rPr>
          <w:rFonts w:ascii="Times New Roman" w:hAnsi="Times New Roman" w:cs="Times New Roman"/>
          <w:sz w:val="28"/>
        </w:rPr>
        <w:t xml:space="preserve">будет </w:t>
      </w:r>
      <w:r w:rsidR="002A7348">
        <w:rPr>
          <w:rFonts w:ascii="Times New Roman" w:hAnsi="Times New Roman" w:cs="Times New Roman"/>
          <w:sz w:val="28"/>
        </w:rPr>
        <w:t xml:space="preserve">распространить по всей </w:t>
      </w:r>
      <w:r w:rsidR="00915F7A">
        <w:rPr>
          <w:rFonts w:ascii="Times New Roman" w:hAnsi="Times New Roman" w:cs="Times New Roman"/>
          <w:sz w:val="28"/>
        </w:rPr>
        <w:t>стране</w:t>
      </w:r>
      <w:r w:rsidR="002A7348">
        <w:rPr>
          <w:rFonts w:ascii="Times New Roman" w:hAnsi="Times New Roman" w:cs="Times New Roman"/>
          <w:sz w:val="28"/>
        </w:rPr>
        <w:t>.</w:t>
      </w:r>
      <w:r w:rsidR="00076BBB">
        <w:rPr>
          <w:rFonts w:ascii="Times New Roman" w:hAnsi="Times New Roman" w:cs="Times New Roman"/>
          <w:sz w:val="28"/>
        </w:rPr>
        <w:t xml:space="preserve"> </w:t>
      </w:r>
      <w:r w:rsidR="00CC0430">
        <w:rPr>
          <w:rFonts w:ascii="Times New Roman" w:hAnsi="Times New Roman" w:cs="Times New Roman"/>
          <w:sz w:val="28"/>
        </w:rPr>
        <w:t>Основной</w:t>
      </w:r>
      <w:r w:rsidR="00076BBB">
        <w:rPr>
          <w:rFonts w:ascii="Times New Roman" w:hAnsi="Times New Roman" w:cs="Times New Roman"/>
          <w:sz w:val="28"/>
        </w:rPr>
        <w:t xml:space="preserve"> проблемой, </w:t>
      </w:r>
      <w:r w:rsidR="00CC0430">
        <w:rPr>
          <w:rFonts w:ascii="Times New Roman" w:hAnsi="Times New Roman" w:cs="Times New Roman"/>
          <w:sz w:val="28"/>
        </w:rPr>
        <w:t>однако</w:t>
      </w:r>
      <w:r w:rsidR="00076BBB">
        <w:rPr>
          <w:rFonts w:ascii="Times New Roman" w:hAnsi="Times New Roman" w:cs="Times New Roman"/>
          <w:sz w:val="28"/>
        </w:rPr>
        <w:t xml:space="preserve">, остается обеспечение того, чтобы разрабатываемые проекты реализовались в России, а не </w:t>
      </w:r>
      <w:r w:rsidR="00B07083">
        <w:rPr>
          <w:rFonts w:ascii="Times New Roman" w:hAnsi="Times New Roman" w:cs="Times New Roman"/>
          <w:sz w:val="28"/>
        </w:rPr>
        <w:t>за границей.</w:t>
      </w:r>
    </w:p>
    <w:p w:rsidR="00AF5308" w:rsidRPr="004073B7" w:rsidRDefault="00BA6AE2" w:rsidP="000B2C5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действующей  инновационной политики Великобритании показал, что, несмотря на все трудности</w:t>
      </w:r>
      <w:r w:rsidR="00EC73D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которыми </w:t>
      </w:r>
      <w:r w:rsidR="00EC73D9"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 xml:space="preserve">сталкивается сейчас и вызовы, которые могут иметь место в будущем, </w:t>
      </w:r>
      <w:r w:rsidR="00EC73D9">
        <w:rPr>
          <w:rFonts w:ascii="Times New Roman" w:hAnsi="Times New Roman" w:cs="Times New Roman"/>
          <w:sz w:val="28"/>
        </w:rPr>
        <w:t xml:space="preserve">правительство выполняет все возможное, чтобы данное направление </w:t>
      </w:r>
      <w:r w:rsidR="00AF5308" w:rsidRPr="004073B7">
        <w:rPr>
          <w:rFonts w:ascii="Times New Roman" w:hAnsi="Times New Roman" w:cs="Times New Roman"/>
          <w:sz w:val="28"/>
        </w:rPr>
        <w:t>оставалось на повестке дня.</w:t>
      </w:r>
    </w:p>
    <w:p w:rsidR="00AF5308" w:rsidRPr="00091B09" w:rsidRDefault="0006325B" w:rsidP="004073B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результатов инновационной политики Великобритании, на данной момент нет </w:t>
      </w:r>
      <w:r w:rsidR="00BA6AE2">
        <w:rPr>
          <w:rFonts w:ascii="Times New Roman" w:hAnsi="Times New Roman" w:cs="Times New Roman"/>
          <w:sz w:val="28"/>
        </w:rPr>
        <w:t xml:space="preserve">официальных данных, свидетельствующих о том, были ли достигнуты все поставленные цели и какой вклад внесли в развитие инновационной сферы правительственные программы. </w:t>
      </w:r>
      <w:r w:rsidR="004073B7">
        <w:rPr>
          <w:rFonts w:ascii="Times New Roman" w:hAnsi="Times New Roman" w:cs="Times New Roman"/>
          <w:sz w:val="28"/>
        </w:rPr>
        <w:t xml:space="preserve">Проводимая коалиционным правительством политика имеет как сторонников, так и противников. С одной стороны, </w:t>
      </w:r>
      <w:r w:rsidR="00760069">
        <w:rPr>
          <w:rFonts w:ascii="Times New Roman" w:hAnsi="Times New Roman" w:cs="Times New Roman"/>
          <w:sz w:val="28"/>
        </w:rPr>
        <w:t>проводимые в  области сотрудничества ВУЗов и бизнеса программы внесли значительный вклад в повышени</w:t>
      </w:r>
      <w:r w:rsidR="00926500">
        <w:rPr>
          <w:rFonts w:ascii="Times New Roman" w:hAnsi="Times New Roman" w:cs="Times New Roman"/>
          <w:sz w:val="28"/>
        </w:rPr>
        <w:t xml:space="preserve">е инновационного потенциала высшей школы и увеличения </w:t>
      </w:r>
      <w:r w:rsidR="00760069">
        <w:rPr>
          <w:rFonts w:ascii="Times New Roman" w:hAnsi="Times New Roman" w:cs="Times New Roman"/>
          <w:sz w:val="28"/>
        </w:rPr>
        <w:t>доли наукоемких, инновационно-ориентрованных предприятий Великобритании. Однако</w:t>
      </w:r>
      <w:r w:rsidR="00926500">
        <w:rPr>
          <w:rFonts w:ascii="Times New Roman" w:hAnsi="Times New Roman" w:cs="Times New Roman"/>
          <w:sz w:val="28"/>
        </w:rPr>
        <w:t xml:space="preserve"> </w:t>
      </w:r>
      <w:r w:rsidR="004073B7">
        <w:rPr>
          <w:rFonts w:ascii="Times New Roman" w:hAnsi="Times New Roman" w:cs="Times New Roman"/>
          <w:sz w:val="28"/>
        </w:rPr>
        <w:lastRenderedPageBreak/>
        <w:t xml:space="preserve">встает </w:t>
      </w:r>
      <w:r w:rsidR="00926500">
        <w:rPr>
          <w:rFonts w:ascii="Times New Roman" w:hAnsi="Times New Roman" w:cs="Times New Roman"/>
          <w:sz w:val="28"/>
        </w:rPr>
        <w:t>вопрос,</w:t>
      </w:r>
      <w:r w:rsidR="00760069">
        <w:rPr>
          <w:rFonts w:ascii="Times New Roman" w:hAnsi="Times New Roman" w:cs="Times New Roman"/>
          <w:sz w:val="28"/>
        </w:rPr>
        <w:t xml:space="preserve"> почему до сих пор </w:t>
      </w:r>
      <w:r w:rsidR="006B63B9">
        <w:rPr>
          <w:rFonts w:ascii="Times New Roman" w:hAnsi="Times New Roman" w:cs="Times New Roman"/>
          <w:sz w:val="28"/>
        </w:rPr>
        <w:t xml:space="preserve">еще </w:t>
      </w:r>
      <w:r w:rsidR="00760069">
        <w:rPr>
          <w:rFonts w:ascii="Times New Roman" w:hAnsi="Times New Roman" w:cs="Times New Roman"/>
          <w:sz w:val="28"/>
        </w:rPr>
        <w:t xml:space="preserve">не существует британского </w:t>
      </w:r>
      <w:r w:rsidR="00760069">
        <w:rPr>
          <w:rFonts w:ascii="Times New Roman" w:hAnsi="Times New Roman" w:cs="Times New Roman"/>
          <w:sz w:val="28"/>
          <w:lang w:val="en-US"/>
        </w:rPr>
        <w:t>Google</w:t>
      </w:r>
      <w:r w:rsidR="004073B7">
        <w:rPr>
          <w:rFonts w:ascii="Times New Roman" w:hAnsi="Times New Roman" w:cs="Times New Roman"/>
          <w:sz w:val="28"/>
        </w:rPr>
        <w:t xml:space="preserve">, и был ли </w:t>
      </w:r>
      <w:r w:rsidR="004073B7" w:rsidRPr="00091B09">
        <w:rPr>
          <w:rFonts w:ascii="Times New Roman" w:hAnsi="Times New Roman" w:cs="Times New Roman"/>
          <w:color w:val="auto"/>
          <w:sz w:val="28"/>
        </w:rPr>
        <w:t>рост продуктивности таким значительным, как и планировался</w:t>
      </w:r>
      <w:r w:rsidR="00760069" w:rsidRPr="00091B09">
        <w:rPr>
          <w:rFonts w:ascii="Times New Roman" w:hAnsi="Times New Roman" w:cs="Times New Roman"/>
          <w:color w:val="auto"/>
          <w:sz w:val="28"/>
        </w:rPr>
        <w:t>?</w:t>
      </w:r>
      <w:r w:rsidR="00304AB6" w:rsidRPr="00091B09">
        <w:rPr>
          <w:rFonts w:ascii="Times New Roman" w:hAnsi="Times New Roman" w:cs="Times New Roman"/>
          <w:color w:val="auto"/>
          <w:sz w:val="28"/>
        </w:rPr>
        <w:t xml:space="preserve"> </w:t>
      </w:r>
      <w:r w:rsidR="004073B7" w:rsidRPr="00091B09">
        <w:rPr>
          <w:rFonts w:ascii="Times New Roman" w:hAnsi="Times New Roman" w:cs="Times New Roman"/>
          <w:color w:val="auto"/>
          <w:sz w:val="28"/>
        </w:rPr>
        <w:t xml:space="preserve">Возможно, пока еще рано судить об эффективности и долгосрочных последствиях реализации политики британского правительства.  Безусловно, еще есть неудовлетворенные потребности рынка, но именно они </w:t>
      </w:r>
      <w:r w:rsidR="00304AB6" w:rsidRPr="00091B09">
        <w:rPr>
          <w:rFonts w:ascii="Times New Roman" w:hAnsi="Times New Roman" w:cs="Times New Roman"/>
          <w:color w:val="auto"/>
          <w:sz w:val="28"/>
        </w:rPr>
        <w:t xml:space="preserve">являются </w:t>
      </w:r>
      <w:r w:rsidR="00936A6C" w:rsidRPr="00091B09">
        <w:rPr>
          <w:rFonts w:ascii="Times New Roman" w:hAnsi="Times New Roman" w:cs="Times New Roman"/>
          <w:color w:val="auto"/>
          <w:sz w:val="28"/>
        </w:rPr>
        <w:t>фундаментом</w:t>
      </w:r>
      <w:r w:rsidR="00304AB6" w:rsidRPr="00091B09">
        <w:rPr>
          <w:rFonts w:ascii="Times New Roman" w:hAnsi="Times New Roman" w:cs="Times New Roman"/>
          <w:color w:val="auto"/>
          <w:sz w:val="28"/>
        </w:rPr>
        <w:t xml:space="preserve"> рыночных возможностей для высо</w:t>
      </w:r>
      <w:r w:rsidR="004073B7" w:rsidRPr="00091B09">
        <w:rPr>
          <w:rFonts w:ascii="Times New Roman" w:hAnsi="Times New Roman" w:cs="Times New Roman"/>
          <w:color w:val="auto"/>
          <w:sz w:val="28"/>
        </w:rPr>
        <w:t>котехнологических предприятий.</w:t>
      </w:r>
      <w:r w:rsidR="00304AB6" w:rsidRPr="00091B09">
        <w:rPr>
          <w:rFonts w:ascii="Times New Roman" w:hAnsi="Times New Roman" w:cs="Times New Roman"/>
          <w:color w:val="auto"/>
          <w:sz w:val="28"/>
        </w:rPr>
        <w:t xml:space="preserve"> </w:t>
      </w:r>
      <w:r w:rsidR="004073B7" w:rsidRPr="00091B09">
        <w:rPr>
          <w:rFonts w:ascii="Times New Roman" w:hAnsi="Times New Roman" w:cs="Times New Roman"/>
          <w:color w:val="auto"/>
          <w:sz w:val="28"/>
        </w:rPr>
        <w:t xml:space="preserve">В </w:t>
      </w:r>
      <w:r w:rsidR="00304AB6" w:rsidRPr="00091B09">
        <w:rPr>
          <w:rFonts w:ascii="Times New Roman" w:hAnsi="Times New Roman" w:cs="Times New Roman"/>
          <w:color w:val="auto"/>
          <w:sz w:val="28"/>
        </w:rPr>
        <w:t>условиях глобализации</w:t>
      </w:r>
      <w:r w:rsidR="00BC40C8" w:rsidRPr="00091B09">
        <w:rPr>
          <w:rFonts w:ascii="Times New Roman" w:hAnsi="Times New Roman" w:cs="Times New Roman"/>
          <w:color w:val="auto"/>
          <w:sz w:val="28"/>
        </w:rPr>
        <w:t>, как двигателя мировой экономики,</w:t>
      </w:r>
      <w:r w:rsidR="00304AB6" w:rsidRPr="00091B09">
        <w:rPr>
          <w:rFonts w:ascii="Times New Roman" w:hAnsi="Times New Roman" w:cs="Times New Roman"/>
          <w:color w:val="auto"/>
          <w:sz w:val="28"/>
        </w:rPr>
        <w:t xml:space="preserve"> лишь </w:t>
      </w:r>
      <w:r w:rsidR="00BC40C8" w:rsidRPr="00091B09">
        <w:rPr>
          <w:rFonts w:ascii="Times New Roman" w:hAnsi="Times New Roman" w:cs="Times New Roman"/>
          <w:color w:val="auto"/>
          <w:sz w:val="28"/>
        </w:rPr>
        <w:t xml:space="preserve">дополняющие ее </w:t>
      </w:r>
      <w:r w:rsidR="00304AB6" w:rsidRPr="00091B09">
        <w:rPr>
          <w:rFonts w:ascii="Times New Roman" w:hAnsi="Times New Roman" w:cs="Times New Roman"/>
          <w:color w:val="auto"/>
          <w:sz w:val="28"/>
        </w:rPr>
        <w:t>инновации могут удовлетворить эти потребности.</w:t>
      </w:r>
    </w:p>
    <w:p w:rsidR="0009112C" w:rsidRPr="00091B09" w:rsidRDefault="0009112C" w:rsidP="000B2C5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09112C" w:rsidRPr="00091B09" w:rsidRDefault="0009112C" w:rsidP="000911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4A2B3D" w:rsidRPr="00091B09" w:rsidRDefault="004A2B3D" w:rsidP="000911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4A2B3D" w:rsidRPr="00091B09" w:rsidRDefault="004A2B3D" w:rsidP="000911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4A2B3D" w:rsidRPr="00091B09" w:rsidRDefault="004A2B3D" w:rsidP="000911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4A2B3D" w:rsidRPr="00091B09" w:rsidRDefault="004A2B3D" w:rsidP="000911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4A2B3D" w:rsidRPr="00091B09" w:rsidRDefault="004A2B3D" w:rsidP="000911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4A2B3D" w:rsidRPr="00091B09" w:rsidRDefault="004A2B3D" w:rsidP="000911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5C38CF" w:rsidRPr="0048381E" w:rsidRDefault="005C38CF" w:rsidP="0048381E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C38CF" w:rsidRPr="0048381E" w:rsidRDefault="005C38CF" w:rsidP="002429D0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32"/>
          <w:lang w:val="en-US"/>
        </w:rPr>
      </w:pPr>
    </w:p>
    <w:p w:rsidR="005C38CF" w:rsidRPr="0048381E" w:rsidRDefault="005C38CF" w:rsidP="002429D0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32"/>
          <w:lang w:val="en-US"/>
        </w:rPr>
      </w:pPr>
    </w:p>
    <w:p w:rsidR="005C38CF" w:rsidRDefault="005C38CF" w:rsidP="002429D0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32"/>
        </w:rPr>
      </w:pPr>
    </w:p>
    <w:p w:rsidR="001D2666" w:rsidRPr="001D2666" w:rsidRDefault="001D2666" w:rsidP="002429D0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32"/>
        </w:rPr>
      </w:pPr>
    </w:p>
    <w:p w:rsidR="005C38CF" w:rsidRPr="0048381E" w:rsidRDefault="005C38CF" w:rsidP="002429D0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32"/>
          <w:lang w:val="en-US"/>
        </w:rPr>
      </w:pPr>
    </w:p>
    <w:p w:rsidR="00312F0C" w:rsidRPr="0048381E" w:rsidRDefault="00312F0C" w:rsidP="00694C30">
      <w:pPr>
        <w:spacing w:after="0" w:line="360" w:lineRule="auto"/>
        <w:rPr>
          <w:rFonts w:ascii="Times New Roman" w:hAnsi="Times New Roman" w:cs="Times New Roman"/>
          <w:sz w:val="32"/>
          <w:lang w:val="en-US"/>
        </w:rPr>
      </w:pPr>
    </w:p>
    <w:p w:rsidR="00BC1186" w:rsidRDefault="00BC1186" w:rsidP="00303929">
      <w:pPr>
        <w:spacing w:after="0" w:line="360" w:lineRule="auto"/>
        <w:rPr>
          <w:rFonts w:ascii="Times New Roman" w:hAnsi="Times New Roman" w:cs="Times New Roman"/>
          <w:sz w:val="32"/>
          <w:lang w:val="en-US"/>
        </w:rPr>
      </w:pPr>
    </w:p>
    <w:p w:rsidR="0048381E" w:rsidRDefault="0048381E" w:rsidP="00303929">
      <w:pPr>
        <w:spacing w:after="0" w:line="360" w:lineRule="auto"/>
        <w:rPr>
          <w:rFonts w:ascii="Times New Roman" w:hAnsi="Times New Roman" w:cs="Times New Roman"/>
          <w:sz w:val="32"/>
          <w:lang w:val="en-US"/>
        </w:rPr>
      </w:pPr>
    </w:p>
    <w:p w:rsidR="0048381E" w:rsidRDefault="0048381E" w:rsidP="00303929">
      <w:pPr>
        <w:spacing w:after="0" w:line="360" w:lineRule="auto"/>
        <w:rPr>
          <w:rFonts w:ascii="Times New Roman" w:hAnsi="Times New Roman" w:cs="Times New Roman"/>
          <w:sz w:val="32"/>
          <w:lang w:val="en-US"/>
        </w:rPr>
      </w:pPr>
    </w:p>
    <w:p w:rsidR="0048381E" w:rsidRDefault="0048381E" w:rsidP="00303929">
      <w:pPr>
        <w:spacing w:after="0" w:line="360" w:lineRule="auto"/>
        <w:rPr>
          <w:rFonts w:ascii="Times New Roman" w:hAnsi="Times New Roman" w:cs="Times New Roman"/>
          <w:sz w:val="32"/>
          <w:lang w:val="en-US"/>
        </w:rPr>
      </w:pPr>
    </w:p>
    <w:p w:rsidR="0048381E" w:rsidRPr="0048381E" w:rsidRDefault="0048381E" w:rsidP="00303929">
      <w:pPr>
        <w:spacing w:after="0" w:line="360" w:lineRule="auto"/>
        <w:rPr>
          <w:rFonts w:ascii="Times New Roman" w:hAnsi="Times New Roman" w:cs="Times New Roman"/>
          <w:sz w:val="32"/>
          <w:lang w:val="en-US"/>
        </w:rPr>
      </w:pPr>
    </w:p>
    <w:p w:rsidR="00304AB6" w:rsidRPr="001D2666" w:rsidRDefault="002429D0" w:rsidP="004838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</w:rPr>
      </w:pPr>
      <w:r w:rsidRPr="00E64C0D">
        <w:rPr>
          <w:rFonts w:ascii="Times New Roman" w:hAnsi="Times New Roman" w:cs="Times New Roman"/>
          <w:sz w:val="32"/>
        </w:rPr>
        <w:lastRenderedPageBreak/>
        <w:t>Приложения</w:t>
      </w:r>
    </w:p>
    <w:p w:rsidR="0048381E" w:rsidRPr="001D2666" w:rsidRDefault="0048381E" w:rsidP="0048381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2429D0" w:rsidRDefault="002429D0" w:rsidP="00E64C0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1. </w:t>
      </w:r>
    </w:p>
    <w:p w:rsidR="002429D0" w:rsidRPr="00E64C0D" w:rsidRDefault="002429D0" w:rsidP="00E64C0D">
      <w:pPr>
        <w:tabs>
          <w:tab w:val="left" w:pos="1266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E64C0D">
        <w:rPr>
          <w:rFonts w:ascii="Times New Roman" w:hAnsi="Times New Roman" w:cs="Times New Roman"/>
          <w:sz w:val="28"/>
        </w:rPr>
        <w:t xml:space="preserve"> №1</w:t>
      </w:r>
      <w:r w:rsidR="00E64C0D" w:rsidRPr="00E64C0D">
        <w:rPr>
          <w:rFonts w:ascii="Times New Roman" w:hAnsi="Times New Roman" w:cs="Times New Roman"/>
          <w:sz w:val="28"/>
        </w:rPr>
        <w:t xml:space="preserve">. </w:t>
      </w:r>
      <w:r w:rsidR="00E64C0D" w:rsidRPr="00E64C0D">
        <w:rPr>
          <w:rFonts w:ascii="Times New Roman" w:hAnsi="Times New Roman" w:cs="Times New Roman"/>
          <w:sz w:val="28"/>
          <w:szCs w:val="28"/>
        </w:rPr>
        <w:t>Глобальный рейтинг инноваций (первая десятка стран).</w:t>
      </w:r>
    </w:p>
    <w:tbl>
      <w:tblPr>
        <w:tblStyle w:val="-5"/>
        <w:tblW w:w="0" w:type="auto"/>
        <w:tblLook w:val="04A0"/>
      </w:tblPr>
      <w:tblGrid>
        <w:gridCol w:w="3804"/>
        <w:gridCol w:w="3314"/>
      </w:tblGrid>
      <w:tr w:rsidR="00E64C0D" w:rsidRPr="00E64C0D" w:rsidTr="0048381E">
        <w:trPr>
          <w:cnfStyle w:val="100000000000"/>
          <w:trHeight w:val="872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Страна</w:t>
            </w:r>
          </w:p>
        </w:tc>
        <w:tc>
          <w:tcPr>
            <w:tcW w:w="3314" w:type="dxa"/>
          </w:tcPr>
          <w:p w:rsidR="00E64C0D" w:rsidRDefault="00E64C0D" w:rsidP="00E64C0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Индекс инновации</w:t>
            </w:r>
          </w:p>
          <w:p w:rsidR="00E64C0D" w:rsidRPr="00E64C0D" w:rsidRDefault="00E64C0D" w:rsidP="00E64C0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(0-100)</w:t>
            </w:r>
          </w:p>
        </w:tc>
      </w:tr>
      <w:tr w:rsidR="00E64C0D" w:rsidRPr="00E64C0D" w:rsidTr="0048381E">
        <w:trPr>
          <w:cnfStyle w:val="000000100000"/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1. Швейцария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68.2</w:t>
            </w:r>
          </w:p>
        </w:tc>
      </w:tr>
      <w:tr w:rsidR="00E64C0D" w:rsidRPr="00E64C0D" w:rsidTr="0048381E">
        <w:trPr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2. Швеция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64.8</w:t>
            </w:r>
          </w:p>
        </w:tc>
      </w:tr>
      <w:tr w:rsidR="00E64C0D" w:rsidRPr="00E64C0D" w:rsidTr="0048381E">
        <w:trPr>
          <w:cnfStyle w:val="000000100000"/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3. Сингапур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63.5</w:t>
            </w:r>
          </w:p>
        </w:tc>
      </w:tr>
      <w:tr w:rsidR="00E64C0D" w:rsidRPr="00E64C0D" w:rsidTr="0048381E">
        <w:trPr>
          <w:trHeight w:val="442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4. Финляндия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61.8</w:t>
            </w:r>
          </w:p>
        </w:tc>
      </w:tr>
      <w:tr w:rsidR="00E64C0D" w:rsidRPr="00E64C0D" w:rsidTr="0048381E">
        <w:trPr>
          <w:cnfStyle w:val="000000100000"/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5. Великобритания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61.2</w:t>
            </w:r>
          </w:p>
        </w:tc>
      </w:tr>
      <w:tr w:rsidR="00E64C0D" w:rsidRPr="00E64C0D" w:rsidTr="0048381E">
        <w:trPr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6. Нидерланды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60.5</w:t>
            </w:r>
          </w:p>
        </w:tc>
      </w:tr>
      <w:tr w:rsidR="00E64C0D" w:rsidRPr="00E64C0D" w:rsidTr="0048381E">
        <w:trPr>
          <w:cnfStyle w:val="000000100000"/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7. Дания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59.9</w:t>
            </w:r>
          </w:p>
        </w:tc>
      </w:tr>
      <w:tr w:rsidR="00E64C0D" w:rsidRPr="00E64C0D" w:rsidTr="0048381E">
        <w:trPr>
          <w:trHeight w:val="442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8. Гонконг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58.7</w:t>
            </w:r>
          </w:p>
        </w:tc>
      </w:tr>
      <w:tr w:rsidR="00E64C0D" w:rsidRPr="00E64C0D" w:rsidTr="0048381E">
        <w:trPr>
          <w:cnfStyle w:val="000000100000"/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9. Ирландия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57.7</w:t>
            </w:r>
          </w:p>
        </w:tc>
      </w:tr>
      <w:tr w:rsidR="00E64C0D" w:rsidRPr="00E64C0D" w:rsidTr="0048381E">
        <w:trPr>
          <w:trHeight w:val="430"/>
        </w:trPr>
        <w:tc>
          <w:tcPr>
            <w:cnfStyle w:val="001000000000"/>
            <w:tcW w:w="3804" w:type="dxa"/>
          </w:tcPr>
          <w:p w:rsidR="00E64C0D" w:rsidRPr="00E64C0D" w:rsidRDefault="00E64C0D" w:rsidP="00E64C0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10. США</w:t>
            </w:r>
          </w:p>
        </w:tc>
        <w:tc>
          <w:tcPr>
            <w:tcW w:w="3314" w:type="dxa"/>
          </w:tcPr>
          <w:p w:rsidR="00E64C0D" w:rsidRPr="00E64C0D" w:rsidRDefault="00E64C0D" w:rsidP="00E64C0D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sz w:val="28"/>
                <w:szCs w:val="28"/>
              </w:rPr>
              <w:t>56.9</w:t>
            </w:r>
          </w:p>
        </w:tc>
      </w:tr>
    </w:tbl>
    <w:p w:rsidR="00E64C0D" w:rsidRPr="00303929" w:rsidRDefault="00E64C0D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</w:rPr>
      </w:pPr>
      <w:r w:rsidRPr="00303929">
        <w:rPr>
          <w:rFonts w:ascii="Times New Roman" w:hAnsi="Times New Roman" w:cs="Times New Roman"/>
        </w:rPr>
        <w:t xml:space="preserve">Источник: </w:t>
      </w:r>
      <w:r w:rsidRPr="00303929">
        <w:rPr>
          <w:rFonts w:ascii="Times New Roman" w:hAnsi="Times New Roman" w:cs="Times New Roman"/>
          <w:lang w:val="en-US"/>
        </w:rPr>
        <w:t>GII</w:t>
      </w:r>
      <w:r w:rsidRPr="00303929">
        <w:rPr>
          <w:rFonts w:ascii="Times New Roman" w:hAnsi="Times New Roman" w:cs="Times New Roman"/>
        </w:rPr>
        <w:t xml:space="preserve"> 2012, </w:t>
      </w:r>
      <w:r w:rsidRPr="00303929">
        <w:rPr>
          <w:rFonts w:ascii="Times New Roman" w:hAnsi="Times New Roman" w:cs="Times New Roman"/>
          <w:u w:val="single"/>
          <w:lang w:val="en-US"/>
        </w:rPr>
        <w:t>http</w:t>
      </w:r>
      <w:r w:rsidRPr="00303929">
        <w:rPr>
          <w:rFonts w:ascii="Times New Roman" w:hAnsi="Times New Roman" w:cs="Times New Roman"/>
          <w:u w:val="single"/>
        </w:rPr>
        <w:t>://</w:t>
      </w:r>
      <w:r w:rsidRPr="00303929">
        <w:rPr>
          <w:rFonts w:ascii="Times New Roman" w:hAnsi="Times New Roman" w:cs="Times New Roman"/>
          <w:u w:val="single"/>
          <w:lang w:val="en-US"/>
        </w:rPr>
        <w:t>www</w:t>
      </w:r>
      <w:r w:rsidRPr="00303929">
        <w:rPr>
          <w:rFonts w:ascii="Times New Roman" w:hAnsi="Times New Roman" w:cs="Times New Roman"/>
          <w:u w:val="single"/>
        </w:rPr>
        <w:t>.</w:t>
      </w:r>
      <w:r w:rsidRPr="00303929">
        <w:rPr>
          <w:rFonts w:ascii="Times New Roman" w:hAnsi="Times New Roman" w:cs="Times New Roman"/>
          <w:u w:val="single"/>
          <w:lang w:val="en-US"/>
        </w:rPr>
        <w:t>globalinnovationindex</w:t>
      </w:r>
      <w:r w:rsidRPr="00303929">
        <w:rPr>
          <w:rFonts w:ascii="Times New Roman" w:hAnsi="Times New Roman" w:cs="Times New Roman"/>
          <w:u w:val="single"/>
        </w:rPr>
        <w:t>.</w:t>
      </w:r>
      <w:r w:rsidRPr="00303929">
        <w:rPr>
          <w:rFonts w:ascii="Times New Roman" w:hAnsi="Times New Roman" w:cs="Times New Roman"/>
          <w:u w:val="single"/>
          <w:lang w:val="en-US"/>
        </w:rPr>
        <w:t>org</w:t>
      </w:r>
      <w:r w:rsidRPr="00303929">
        <w:rPr>
          <w:rFonts w:ascii="Times New Roman" w:hAnsi="Times New Roman" w:cs="Times New Roman"/>
          <w:u w:val="single"/>
        </w:rPr>
        <w:t>.</w:t>
      </w:r>
    </w:p>
    <w:p w:rsidR="00E64C0D" w:rsidRPr="001D2666" w:rsidRDefault="00E64C0D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</w:rPr>
      </w:pPr>
      <w:r w:rsidRPr="00303929">
        <w:rPr>
          <w:rFonts w:ascii="Times New Roman" w:hAnsi="Times New Roman" w:cs="Times New Roman"/>
        </w:rPr>
        <w:t>Дата обращения: 08.05.2013</w:t>
      </w:r>
      <w:r w:rsidR="00582D46" w:rsidRPr="001D2666">
        <w:rPr>
          <w:rFonts w:ascii="Times New Roman" w:hAnsi="Times New Roman" w:cs="Times New Roman"/>
        </w:rPr>
        <w:t>.</w:t>
      </w:r>
    </w:p>
    <w:p w:rsidR="002429D0" w:rsidRPr="00E64C0D" w:rsidRDefault="002429D0" w:rsidP="00E64C0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</w:p>
    <w:p w:rsidR="002429D0" w:rsidRPr="00E64C0D" w:rsidRDefault="002429D0" w:rsidP="00E64C0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E64C0D">
        <w:rPr>
          <w:rFonts w:ascii="Times New Roman" w:hAnsi="Times New Roman" w:cs="Times New Roman"/>
          <w:sz w:val="28"/>
        </w:rPr>
        <w:t xml:space="preserve">Приложение </w:t>
      </w:r>
      <w:r w:rsidR="00303929">
        <w:rPr>
          <w:rFonts w:ascii="Times New Roman" w:hAnsi="Times New Roman" w:cs="Times New Roman"/>
          <w:sz w:val="28"/>
        </w:rPr>
        <w:t>2</w:t>
      </w:r>
      <w:r w:rsidRPr="00E64C0D">
        <w:rPr>
          <w:rFonts w:ascii="Times New Roman" w:hAnsi="Times New Roman" w:cs="Times New Roman"/>
          <w:sz w:val="28"/>
        </w:rPr>
        <w:t xml:space="preserve">. </w:t>
      </w:r>
    </w:p>
    <w:p w:rsidR="00E64C0D" w:rsidRPr="00E64C0D" w:rsidRDefault="00E64C0D" w:rsidP="00E64C0D">
      <w:pPr>
        <w:spacing w:after="0" w:line="360" w:lineRule="auto"/>
        <w:ind w:left="-709" w:right="-568" w:firstLine="709"/>
        <w:rPr>
          <w:rFonts w:ascii="Times New Roman" w:hAnsi="Times New Roman" w:cs="Times New Roman"/>
          <w:sz w:val="28"/>
          <w:szCs w:val="28"/>
        </w:rPr>
      </w:pPr>
      <w:r w:rsidRPr="00E64C0D">
        <w:rPr>
          <w:rFonts w:ascii="Times New Roman" w:hAnsi="Times New Roman" w:cs="Times New Roman"/>
          <w:sz w:val="28"/>
          <w:szCs w:val="28"/>
        </w:rPr>
        <w:t>Таблица №2. Индекс инновационной эффективности.</w:t>
      </w:r>
    </w:p>
    <w:tbl>
      <w:tblPr>
        <w:tblStyle w:val="-5"/>
        <w:tblW w:w="0" w:type="auto"/>
        <w:tblLook w:val="04A0"/>
      </w:tblPr>
      <w:tblGrid>
        <w:gridCol w:w="3860"/>
        <w:gridCol w:w="3362"/>
      </w:tblGrid>
      <w:tr w:rsidR="00E64C0D" w:rsidRPr="00E64C0D" w:rsidTr="0048381E">
        <w:trPr>
          <w:cnfStyle w:val="100000000000"/>
          <w:trHeight w:val="418"/>
        </w:trPr>
        <w:tc>
          <w:tcPr>
            <w:cnfStyle w:val="001000000000"/>
            <w:tcW w:w="3860" w:type="dxa"/>
          </w:tcPr>
          <w:p w:rsidR="00E64C0D" w:rsidRPr="00E64C0D" w:rsidRDefault="00E64C0D" w:rsidP="00C916D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Страна</w:t>
            </w:r>
          </w:p>
        </w:tc>
        <w:tc>
          <w:tcPr>
            <w:tcW w:w="3362" w:type="dxa"/>
          </w:tcPr>
          <w:p w:rsidR="00E64C0D" w:rsidRPr="00E64C0D" w:rsidRDefault="00E64C0D" w:rsidP="00E64C0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Индекс эффективности</w:t>
            </w:r>
          </w:p>
        </w:tc>
      </w:tr>
      <w:tr w:rsidR="00E64C0D" w:rsidRPr="00E64C0D" w:rsidTr="0048381E">
        <w:trPr>
          <w:cnfStyle w:val="000000100000"/>
          <w:trHeight w:val="405"/>
        </w:trPr>
        <w:tc>
          <w:tcPr>
            <w:cnfStyle w:val="001000000000"/>
            <w:tcW w:w="3860" w:type="dxa"/>
          </w:tcPr>
          <w:p w:rsidR="00E64C0D" w:rsidRPr="00E64C0D" w:rsidRDefault="00E64C0D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E167E9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Мальта</w:t>
            </w:r>
          </w:p>
        </w:tc>
        <w:tc>
          <w:tcPr>
            <w:tcW w:w="3362" w:type="dxa"/>
          </w:tcPr>
          <w:p w:rsidR="00E64C0D" w:rsidRPr="00E64C0D" w:rsidRDefault="00E64C0D" w:rsidP="00C916D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67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64C0D" w:rsidRPr="00E64C0D" w:rsidTr="0048381E">
        <w:trPr>
          <w:trHeight w:val="418"/>
        </w:trPr>
        <w:tc>
          <w:tcPr>
            <w:cnfStyle w:val="001000000000"/>
            <w:tcW w:w="3860" w:type="dxa"/>
          </w:tcPr>
          <w:p w:rsidR="00E64C0D" w:rsidRPr="00E64C0D" w:rsidRDefault="00E64C0D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167E9">
              <w:rPr>
                <w:rFonts w:ascii="Times New Roman" w:hAnsi="Times New Roman" w:cs="Times New Roman"/>
                <w:b w:val="0"/>
                <w:sz w:val="28"/>
                <w:szCs w:val="28"/>
              </w:rPr>
              <w:t>Швейцария</w:t>
            </w:r>
          </w:p>
        </w:tc>
        <w:tc>
          <w:tcPr>
            <w:tcW w:w="3362" w:type="dxa"/>
          </w:tcPr>
          <w:p w:rsidR="00E64C0D" w:rsidRPr="00E64C0D" w:rsidRDefault="00E64C0D" w:rsidP="00E167E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67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E64C0D" w:rsidRPr="00E64C0D" w:rsidTr="0048381E">
        <w:trPr>
          <w:cnfStyle w:val="000000100000"/>
          <w:trHeight w:val="418"/>
        </w:trPr>
        <w:tc>
          <w:tcPr>
            <w:cnfStyle w:val="001000000000"/>
            <w:tcW w:w="3860" w:type="dxa"/>
          </w:tcPr>
          <w:p w:rsidR="00E64C0D" w:rsidRPr="00E64C0D" w:rsidRDefault="00E64C0D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r w:rsidR="00E167E9">
              <w:rPr>
                <w:rFonts w:ascii="Times New Roman" w:hAnsi="Times New Roman" w:cs="Times New Roman"/>
                <w:b w:val="0"/>
                <w:sz w:val="28"/>
                <w:szCs w:val="28"/>
              </w:rPr>
              <w:t>Эстония</w:t>
            </w:r>
          </w:p>
        </w:tc>
        <w:tc>
          <w:tcPr>
            <w:tcW w:w="3362" w:type="dxa"/>
          </w:tcPr>
          <w:p w:rsidR="00E64C0D" w:rsidRPr="00E64C0D" w:rsidRDefault="00E167E9" w:rsidP="00E167E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0.93</w:t>
            </w:r>
          </w:p>
        </w:tc>
      </w:tr>
      <w:tr w:rsidR="00E64C0D" w:rsidRPr="00E64C0D" w:rsidTr="0048381E">
        <w:trPr>
          <w:trHeight w:val="166"/>
        </w:trPr>
        <w:tc>
          <w:tcPr>
            <w:cnfStyle w:val="001000000000"/>
            <w:tcW w:w="3860" w:type="dxa"/>
          </w:tcPr>
          <w:p w:rsidR="00E64C0D" w:rsidRPr="00E64C0D" w:rsidRDefault="00E64C0D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  <w:r w:rsidR="00E167E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Нидерланды</w:t>
            </w:r>
          </w:p>
        </w:tc>
        <w:tc>
          <w:tcPr>
            <w:tcW w:w="3362" w:type="dxa"/>
          </w:tcPr>
          <w:p w:rsidR="00E64C0D" w:rsidRPr="00E64C0D" w:rsidRDefault="00E167E9" w:rsidP="00C916D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0.92</w:t>
            </w:r>
          </w:p>
        </w:tc>
      </w:tr>
      <w:tr w:rsidR="00E64C0D" w:rsidRPr="00E64C0D" w:rsidTr="0048381E">
        <w:trPr>
          <w:cnfStyle w:val="000000100000"/>
          <w:trHeight w:val="405"/>
        </w:trPr>
        <w:tc>
          <w:tcPr>
            <w:cnfStyle w:val="001000000000"/>
            <w:tcW w:w="3860" w:type="dxa"/>
          </w:tcPr>
          <w:p w:rsidR="00E64C0D" w:rsidRPr="00E64C0D" w:rsidRDefault="00E64C0D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5. </w:t>
            </w:r>
            <w:r w:rsidR="00E167E9">
              <w:rPr>
                <w:rFonts w:ascii="Times New Roman" w:hAnsi="Times New Roman" w:cs="Times New Roman"/>
                <w:b w:val="0"/>
                <w:sz w:val="28"/>
                <w:szCs w:val="28"/>
              </w:rPr>
              <w:t>Германия</w:t>
            </w:r>
          </w:p>
        </w:tc>
        <w:tc>
          <w:tcPr>
            <w:tcW w:w="3362" w:type="dxa"/>
          </w:tcPr>
          <w:p w:rsidR="00E64C0D" w:rsidRPr="00E64C0D" w:rsidRDefault="00E167E9" w:rsidP="00E167E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0.91</w:t>
            </w:r>
          </w:p>
        </w:tc>
      </w:tr>
      <w:tr w:rsidR="00E64C0D" w:rsidRPr="00E64C0D" w:rsidTr="0048381E">
        <w:trPr>
          <w:trHeight w:val="405"/>
        </w:trPr>
        <w:tc>
          <w:tcPr>
            <w:cnfStyle w:val="001000000000"/>
            <w:tcW w:w="3860" w:type="dxa"/>
          </w:tcPr>
          <w:p w:rsidR="00E64C0D" w:rsidRPr="00E64C0D" w:rsidRDefault="00E64C0D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 </w:t>
            </w:r>
            <w:r w:rsidR="00E167E9">
              <w:rPr>
                <w:rFonts w:ascii="Times New Roman" w:hAnsi="Times New Roman" w:cs="Times New Roman"/>
                <w:b w:val="0"/>
                <w:sz w:val="28"/>
                <w:szCs w:val="28"/>
              </w:rPr>
              <w:t>Швеция</w:t>
            </w:r>
          </w:p>
        </w:tc>
        <w:tc>
          <w:tcPr>
            <w:tcW w:w="3362" w:type="dxa"/>
          </w:tcPr>
          <w:p w:rsidR="00E64C0D" w:rsidRPr="00E64C0D" w:rsidRDefault="00E64C0D" w:rsidP="00E167E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167E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64C0D" w:rsidRPr="00E64C0D" w:rsidTr="0048381E">
        <w:trPr>
          <w:cnfStyle w:val="000000100000"/>
          <w:trHeight w:val="405"/>
        </w:trPr>
        <w:tc>
          <w:tcPr>
            <w:cnfStyle w:val="001000000000"/>
            <w:tcW w:w="3860" w:type="dxa"/>
          </w:tcPr>
          <w:p w:rsidR="00E64C0D" w:rsidRPr="00E64C0D" w:rsidRDefault="00E167E9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E64C0D"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Чехия</w:t>
            </w:r>
          </w:p>
        </w:tc>
        <w:tc>
          <w:tcPr>
            <w:tcW w:w="3362" w:type="dxa"/>
          </w:tcPr>
          <w:p w:rsidR="00E64C0D" w:rsidRPr="00E64C0D" w:rsidRDefault="00E64C0D" w:rsidP="00E167E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167E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64C0D" w:rsidRPr="00E64C0D" w:rsidTr="0048381E">
        <w:trPr>
          <w:trHeight w:val="418"/>
        </w:trPr>
        <w:tc>
          <w:tcPr>
            <w:cnfStyle w:val="001000000000"/>
            <w:tcW w:w="3860" w:type="dxa"/>
          </w:tcPr>
          <w:p w:rsidR="00E64C0D" w:rsidRPr="00E64C0D" w:rsidRDefault="00E167E9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E64C0D"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Исландия</w:t>
            </w:r>
          </w:p>
        </w:tc>
        <w:tc>
          <w:tcPr>
            <w:tcW w:w="3362" w:type="dxa"/>
          </w:tcPr>
          <w:p w:rsidR="00E64C0D" w:rsidRPr="00E64C0D" w:rsidRDefault="00E64C0D" w:rsidP="00E167E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167E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64C0D" w:rsidRPr="00E64C0D" w:rsidTr="0048381E">
        <w:trPr>
          <w:cnfStyle w:val="000000100000"/>
          <w:trHeight w:val="418"/>
        </w:trPr>
        <w:tc>
          <w:tcPr>
            <w:cnfStyle w:val="001000000000"/>
            <w:tcW w:w="3860" w:type="dxa"/>
          </w:tcPr>
          <w:p w:rsidR="00E64C0D" w:rsidRPr="00E64C0D" w:rsidRDefault="00E167E9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E64C0D"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Финляндия </w:t>
            </w:r>
          </w:p>
        </w:tc>
        <w:tc>
          <w:tcPr>
            <w:tcW w:w="3362" w:type="dxa"/>
          </w:tcPr>
          <w:p w:rsidR="00E64C0D" w:rsidRPr="00E64C0D" w:rsidRDefault="00E64C0D" w:rsidP="00E167E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167E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91B09" w:rsidRPr="00E64C0D" w:rsidTr="0048381E">
        <w:trPr>
          <w:trHeight w:val="308"/>
        </w:trPr>
        <w:tc>
          <w:tcPr>
            <w:cnfStyle w:val="001000000000"/>
            <w:tcW w:w="3860" w:type="dxa"/>
          </w:tcPr>
          <w:p w:rsidR="00091B09" w:rsidRPr="00E64C0D" w:rsidRDefault="00E167E9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091B09" w:rsidRPr="00E64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Израиль</w:t>
            </w:r>
          </w:p>
        </w:tc>
        <w:tc>
          <w:tcPr>
            <w:tcW w:w="3362" w:type="dxa"/>
          </w:tcPr>
          <w:p w:rsidR="00091B09" w:rsidRPr="00E64C0D" w:rsidRDefault="00091B09" w:rsidP="00C916D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0.92</w:t>
            </w:r>
          </w:p>
        </w:tc>
      </w:tr>
      <w:tr w:rsidR="00091B09" w:rsidRPr="00E64C0D" w:rsidTr="0048381E">
        <w:trPr>
          <w:cnfStyle w:val="000000100000"/>
          <w:trHeight w:val="405"/>
        </w:trPr>
        <w:tc>
          <w:tcPr>
            <w:cnfStyle w:val="001000000000"/>
            <w:tcW w:w="3860" w:type="dxa"/>
          </w:tcPr>
          <w:p w:rsidR="00091B09" w:rsidRPr="00091B09" w:rsidRDefault="00E167E9" w:rsidP="00E167E9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 Венгрия</w:t>
            </w:r>
          </w:p>
        </w:tc>
        <w:tc>
          <w:tcPr>
            <w:tcW w:w="3362" w:type="dxa"/>
          </w:tcPr>
          <w:p w:rsidR="00091B09" w:rsidRPr="00E64C0D" w:rsidRDefault="00E167E9" w:rsidP="00091B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0.82</w:t>
            </w:r>
          </w:p>
        </w:tc>
      </w:tr>
      <w:tr w:rsidR="00091B09" w:rsidRPr="00E64C0D" w:rsidTr="0048381E">
        <w:trPr>
          <w:trHeight w:val="405"/>
        </w:trPr>
        <w:tc>
          <w:tcPr>
            <w:cnfStyle w:val="001000000000"/>
            <w:tcW w:w="3860" w:type="dxa"/>
          </w:tcPr>
          <w:p w:rsidR="00091B09" w:rsidRPr="00091B09" w:rsidRDefault="00091B09" w:rsidP="00E167E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  <w:r w:rsidR="00E167E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Великобритания</w:t>
            </w:r>
          </w:p>
        </w:tc>
        <w:tc>
          <w:tcPr>
            <w:tcW w:w="3362" w:type="dxa"/>
          </w:tcPr>
          <w:p w:rsidR="00091B09" w:rsidRPr="00E64C0D" w:rsidRDefault="00E167E9" w:rsidP="00E167E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</w:tr>
    </w:tbl>
    <w:p w:rsidR="00E64C0D" w:rsidRPr="00303929" w:rsidRDefault="00E64C0D" w:rsidP="00E64C0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</w:rPr>
      </w:pPr>
      <w:r w:rsidRPr="00303929">
        <w:rPr>
          <w:rFonts w:ascii="Times New Roman" w:hAnsi="Times New Roman" w:cs="Times New Roman"/>
        </w:rPr>
        <w:t xml:space="preserve">Источник: </w:t>
      </w:r>
      <w:r w:rsidRPr="00303929">
        <w:rPr>
          <w:rFonts w:ascii="Times New Roman" w:hAnsi="Times New Roman" w:cs="Times New Roman"/>
          <w:lang w:val="en-US"/>
        </w:rPr>
        <w:t>GII</w:t>
      </w:r>
      <w:r w:rsidRPr="00303929">
        <w:rPr>
          <w:rFonts w:ascii="Times New Roman" w:hAnsi="Times New Roman" w:cs="Times New Roman"/>
        </w:rPr>
        <w:t xml:space="preserve"> 2012, </w:t>
      </w:r>
      <w:r w:rsidRPr="00303929">
        <w:rPr>
          <w:rFonts w:ascii="Times New Roman" w:hAnsi="Times New Roman" w:cs="Times New Roman"/>
          <w:u w:val="single"/>
          <w:lang w:val="en-US"/>
        </w:rPr>
        <w:t>http</w:t>
      </w:r>
      <w:r w:rsidRPr="00303929">
        <w:rPr>
          <w:rFonts w:ascii="Times New Roman" w:hAnsi="Times New Roman" w:cs="Times New Roman"/>
          <w:u w:val="single"/>
        </w:rPr>
        <w:t>://</w:t>
      </w:r>
      <w:r w:rsidRPr="00303929">
        <w:rPr>
          <w:rFonts w:ascii="Times New Roman" w:hAnsi="Times New Roman" w:cs="Times New Roman"/>
          <w:u w:val="single"/>
          <w:lang w:val="en-US"/>
        </w:rPr>
        <w:t>www</w:t>
      </w:r>
      <w:r w:rsidRPr="00303929">
        <w:rPr>
          <w:rFonts w:ascii="Times New Roman" w:hAnsi="Times New Roman" w:cs="Times New Roman"/>
          <w:u w:val="single"/>
        </w:rPr>
        <w:t>.</w:t>
      </w:r>
      <w:r w:rsidRPr="00303929">
        <w:rPr>
          <w:rFonts w:ascii="Times New Roman" w:hAnsi="Times New Roman" w:cs="Times New Roman"/>
          <w:u w:val="single"/>
          <w:lang w:val="en-US"/>
        </w:rPr>
        <w:t>globalinnovationindex</w:t>
      </w:r>
      <w:r w:rsidRPr="00303929">
        <w:rPr>
          <w:rFonts w:ascii="Times New Roman" w:hAnsi="Times New Roman" w:cs="Times New Roman"/>
          <w:u w:val="single"/>
        </w:rPr>
        <w:t>.</w:t>
      </w:r>
      <w:r w:rsidRPr="00303929">
        <w:rPr>
          <w:rFonts w:ascii="Times New Roman" w:hAnsi="Times New Roman" w:cs="Times New Roman"/>
          <w:u w:val="single"/>
          <w:lang w:val="en-US"/>
        </w:rPr>
        <w:t>org</w:t>
      </w:r>
      <w:r w:rsidRPr="00303929">
        <w:rPr>
          <w:rFonts w:ascii="Times New Roman" w:hAnsi="Times New Roman" w:cs="Times New Roman"/>
          <w:u w:val="single"/>
        </w:rPr>
        <w:t>.</w:t>
      </w:r>
    </w:p>
    <w:p w:rsidR="000C5E3E" w:rsidRDefault="00E64C0D" w:rsidP="000C5E3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</w:rPr>
      </w:pPr>
      <w:r w:rsidRPr="00303929">
        <w:rPr>
          <w:rFonts w:ascii="Times New Roman" w:hAnsi="Times New Roman" w:cs="Times New Roman"/>
        </w:rPr>
        <w:t>Дата обращения: 08.05.201</w:t>
      </w:r>
      <w:r w:rsidR="000C5E3E">
        <w:rPr>
          <w:rFonts w:ascii="Times New Roman" w:hAnsi="Times New Roman" w:cs="Times New Roman"/>
        </w:rPr>
        <w:t>3.</w:t>
      </w:r>
    </w:p>
    <w:p w:rsidR="000C5E3E" w:rsidRPr="000C5E3E" w:rsidRDefault="000C5E3E" w:rsidP="000C5E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29D0" w:rsidRDefault="002429D0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873CE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</w:p>
    <w:p w:rsidR="00873CE5" w:rsidRDefault="00873CE5" w:rsidP="00873CE5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№1. Расходы ведущих стран мира на НИОКР, в период с 1986 г. по 2009 г.</w:t>
      </w:r>
    </w:p>
    <w:p w:rsidR="00873CE5" w:rsidRDefault="00873CE5" w:rsidP="00873CE5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873CE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12275" cy="4210493"/>
            <wp:effectExtent l="19050" t="0" r="2775" b="0"/>
            <wp:docPr id="3" name="Рисунок 3" descr="C:\Documents and Settings\Samsung\Рабочий стол\salome\diplodok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msung\Рабочий стол\salome\diplodok\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1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3E" w:rsidRPr="000C5E3E" w:rsidRDefault="000C5E3E" w:rsidP="000C5E3E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0C5E3E">
        <w:rPr>
          <w:rFonts w:ascii="Times New Roman" w:hAnsi="Times New Roman" w:cs="Times New Roman"/>
          <w:color w:val="auto"/>
          <w:sz w:val="24"/>
          <w:szCs w:val="24"/>
        </w:rPr>
        <w:lastRenderedPageBreak/>
        <w:t>Источник</w:t>
      </w:r>
      <w:r w:rsidRPr="000C5E3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0C5E3E">
        <w:rPr>
          <w:rFonts w:ascii="Times New Roman" w:hAnsi="Times New Roman" w:cs="Times New Roman"/>
          <w:color w:val="auto"/>
          <w:sz w:val="24"/>
          <w:szCs w:val="24"/>
        </w:rPr>
        <w:t>Всемирный</w:t>
      </w:r>
      <w:r w:rsidRPr="000C5E3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C5E3E">
        <w:rPr>
          <w:rFonts w:ascii="Times New Roman" w:hAnsi="Times New Roman" w:cs="Times New Roman"/>
          <w:color w:val="auto"/>
          <w:sz w:val="24"/>
          <w:szCs w:val="24"/>
        </w:rPr>
        <w:t>Банк</w:t>
      </w:r>
      <w:r w:rsidRPr="000C5E3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World Bank of Indicators, the UK R&amp;D expenditures, as percentage of GDP,  </w:t>
      </w:r>
      <w:hyperlink r:id="rId11" w:history="1">
        <w:r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http</w:t>
        </w:r>
        <w:r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data</w:t>
        </w:r>
        <w:r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worldbank</w:t>
        </w:r>
        <w:r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org</w:t>
        </w:r>
      </w:hyperlink>
      <w:r w:rsidRPr="000C5E3E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.</w:t>
      </w:r>
    </w:p>
    <w:p w:rsidR="000C5E3E" w:rsidRPr="000C5E3E" w:rsidRDefault="000C5E3E" w:rsidP="000C5E3E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5E3E">
        <w:rPr>
          <w:rFonts w:ascii="Times New Roman" w:hAnsi="Times New Roman" w:cs="Times New Roman"/>
          <w:color w:val="auto"/>
          <w:sz w:val="24"/>
          <w:szCs w:val="24"/>
        </w:rPr>
        <w:t>Дата обращения 10.05.2013.</w:t>
      </w:r>
    </w:p>
    <w:p w:rsidR="002429D0" w:rsidRPr="000C5E3E" w:rsidRDefault="002429D0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429D0" w:rsidRDefault="002429D0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F3073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</w:p>
    <w:p w:rsidR="00C916D1" w:rsidRPr="00C916D1" w:rsidRDefault="002429D0" w:rsidP="00C916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C916D1">
        <w:rPr>
          <w:rFonts w:ascii="Times New Roman" w:hAnsi="Times New Roman" w:cs="Times New Roman"/>
          <w:sz w:val="28"/>
        </w:rPr>
        <w:t xml:space="preserve"> №3. </w:t>
      </w:r>
      <w:r w:rsidR="00C916D1" w:rsidRPr="00C916D1">
        <w:rPr>
          <w:rFonts w:ascii="Times New Roman" w:hAnsi="Times New Roman" w:cs="Times New Roman"/>
          <w:sz w:val="28"/>
        </w:rPr>
        <w:t>Расходы на НИОКР в Великобритании, 1980-2011</w:t>
      </w:r>
      <w:r w:rsidR="00C916D1">
        <w:rPr>
          <w:rFonts w:ascii="Times New Roman" w:hAnsi="Times New Roman" w:cs="Times New Roman"/>
          <w:b/>
          <w:sz w:val="28"/>
        </w:rPr>
        <w:t>.</w:t>
      </w:r>
    </w:p>
    <w:p w:rsidR="00C916D1" w:rsidRDefault="00C916D1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916D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64930" cy="3423683"/>
            <wp:effectExtent l="19050" t="0" r="16820" b="531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16D1" w:rsidRPr="00303929" w:rsidRDefault="00C916D1" w:rsidP="0030392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04EFB">
        <w:rPr>
          <w:rFonts w:ascii="Times New Roman" w:hAnsi="Times New Roman" w:cs="Times New Roman"/>
          <w:sz w:val="24"/>
          <w:szCs w:val="24"/>
        </w:rPr>
        <w:t>Источник</w:t>
      </w:r>
      <w:r w:rsidRPr="00C04E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04EFB" w:rsidRPr="00C04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EFB" w:rsidRPr="00C04EFB">
        <w:rPr>
          <w:rFonts w:ascii="Times New Roman" w:hAnsi="Times New Roman" w:cs="Times New Roman"/>
          <w:sz w:val="24"/>
          <w:szCs w:val="24"/>
        </w:rPr>
        <w:t>Всемирный</w:t>
      </w:r>
      <w:r w:rsidR="00C04EFB" w:rsidRPr="00C04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EFB" w:rsidRPr="00C04EFB">
        <w:rPr>
          <w:rFonts w:ascii="Times New Roman" w:hAnsi="Times New Roman" w:cs="Times New Roman"/>
          <w:sz w:val="24"/>
          <w:szCs w:val="24"/>
        </w:rPr>
        <w:t>Банк</w:t>
      </w:r>
      <w:r w:rsidR="00C04EFB" w:rsidRPr="00C04EFB">
        <w:rPr>
          <w:rFonts w:ascii="Times New Roman" w:hAnsi="Times New Roman" w:cs="Times New Roman"/>
          <w:sz w:val="24"/>
          <w:szCs w:val="24"/>
          <w:lang w:val="en-US"/>
        </w:rPr>
        <w:t>, World Bank of Indicator</w:t>
      </w:r>
      <w:r w:rsidR="006D08B0">
        <w:rPr>
          <w:rFonts w:ascii="Times New Roman" w:hAnsi="Times New Roman" w:cs="Times New Roman"/>
          <w:sz w:val="24"/>
          <w:szCs w:val="24"/>
          <w:lang w:val="en-US"/>
        </w:rPr>
        <w:t xml:space="preserve">s, the UK </w:t>
      </w:r>
      <w:r w:rsidR="00C04EFB" w:rsidRPr="00C04EFB">
        <w:rPr>
          <w:rFonts w:ascii="Times New Roman" w:hAnsi="Times New Roman" w:cs="Times New Roman"/>
          <w:sz w:val="24"/>
          <w:szCs w:val="24"/>
          <w:lang w:val="en-US"/>
        </w:rPr>
        <w:t xml:space="preserve">R&amp;D expenditures, as percentage of GDP,  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GB"/>
        </w:rPr>
        <w:t>http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US"/>
        </w:rPr>
        <w:t>://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GB"/>
        </w:rPr>
        <w:t>data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GB"/>
        </w:rPr>
        <w:t>worldbank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GB"/>
        </w:rPr>
        <w:t>org</w:t>
      </w:r>
      <w:r w:rsidR="00C04EFB" w:rsidRPr="00C04EF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0C5E3E" w:rsidRPr="000C5E3E" w:rsidRDefault="000C5E3E" w:rsidP="000C5E3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обращения 10.05.2013.</w:t>
      </w:r>
    </w:p>
    <w:p w:rsidR="000C5E3E" w:rsidRPr="001D2666" w:rsidRDefault="000C5E3E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432F" w:rsidRPr="001D2666" w:rsidRDefault="0087432F" w:rsidP="000C5E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429D0" w:rsidRDefault="00F30736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</w:t>
      </w:r>
      <w:r w:rsidR="002429D0">
        <w:rPr>
          <w:rFonts w:ascii="Times New Roman" w:hAnsi="Times New Roman" w:cs="Times New Roman"/>
          <w:sz w:val="28"/>
        </w:rPr>
        <w:t xml:space="preserve">. </w:t>
      </w:r>
    </w:p>
    <w:p w:rsidR="002429D0" w:rsidRDefault="00F30736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Диаграмма №1. </w:t>
      </w:r>
      <w:r w:rsidR="006D08B0">
        <w:rPr>
          <w:rFonts w:ascii="Times New Roman" w:hAnsi="Times New Roman" w:cs="Times New Roman"/>
          <w:sz w:val="28"/>
        </w:rPr>
        <w:t>Мировые расходы на НИОКР.</w:t>
      </w:r>
    </w:p>
    <w:p w:rsidR="00F30736" w:rsidRPr="00F30736" w:rsidRDefault="00F30736" w:rsidP="002429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F3073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31421" cy="3413051"/>
            <wp:effectExtent l="19050" t="0" r="21679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29D0" w:rsidRPr="000C5E3E" w:rsidRDefault="006D08B0" w:rsidP="00312F0C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0C5E3E">
        <w:rPr>
          <w:rFonts w:ascii="Times New Roman" w:hAnsi="Times New Roman" w:cs="Times New Roman"/>
          <w:color w:val="auto"/>
          <w:sz w:val="24"/>
          <w:szCs w:val="24"/>
        </w:rPr>
        <w:t>Источник</w:t>
      </w:r>
      <w:r w:rsidRPr="000C5E3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0C5E3E">
        <w:rPr>
          <w:rFonts w:ascii="Times New Roman" w:hAnsi="Times New Roman" w:cs="Times New Roman"/>
          <w:color w:val="auto"/>
          <w:sz w:val="24"/>
          <w:szCs w:val="24"/>
        </w:rPr>
        <w:t>Всемирный</w:t>
      </w:r>
      <w:r w:rsidRPr="000C5E3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C5E3E">
        <w:rPr>
          <w:rFonts w:ascii="Times New Roman" w:hAnsi="Times New Roman" w:cs="Times New Roman"/>
          <w:color w:val="auto"/>
          <w:sz w:val="24"/>
          <w:szCs w:val="24"/>
        </w:rPr>
        <w:t>Банк</w:t>
      </w:r>
      <w:r w:rsidRPr="000C5E3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World Bank of Indicators, global R&amp;D expenditures, as percentage of GDP,  </w:t>
      </w:r>
      <w:hyperlink r:id="rId14" w:history="1">
        <w:r w:rsidR="000C5E3E"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http</w:t>
        </w:r>
        <w:r w:rsidR="000C5E3E"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="000C5E3E"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data</w:t>
        </w:r>
        <w:r w:rsidR="000C5E3E"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0C5E3E"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worldbank</w:t>
        </w:r>
        <w:r w:rsidR="000C5E3E"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0C5E3E" w:rsidRPr="000C5E3E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GB"/>
          </w:rPr>
          <w:t>org</w:t>
        </w:r>
      </w:hyperlink>
      <w:r w:rsidRPr="000C5E3E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.</w:t>
      </w:r>
    </w:p>
    <w:p w:rsidR="000C5E3E" w:rsidRPr="001D10FF" w:rsidRDefault="000C5E3E" w:rsidP="000C5E3E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C5E3E">
        <w:rPr>
          <w:rFonts w:ascii="Times New Roman" w:hAnsi="Times New Roman" w:cs="Times New Roman"/>
          <w:color w:val="auto"/>
          <w:sz w:val="24"/>
          <w:szCs w:val="24"/>
        </w:rPr>
        <w:t>Дата обращения 10.05.2013.</w:t>
      </w:r>
    </w:p>
    <w:p w:rsidR="000C5E3E" w:rsidRPr="000C5E3E" w:rsidRDefault="000C5E3E" w:rsidP="00312F0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0C5E3E" w:rsidRPr="000C5E3E" w:rsidSect="007563C1">
      <w:footerReference w:type="default" r:id="rId15"/>
      <w:pgSz w:w="11906" w:h="16838"/>
      <w:pgMar w:top="1134" w:right="851" w:bottom="1134" w:left="1418" w:header="397" w:footer="90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87" w:rsidRDefault="001D3B87" w:rsidP="00F73AB8">
      <w:pPr>
        <w:spacing w:after="0" w:line="240" w:lineRule="auto"/>
      </w:pPr>
      <w:r>
        <w:separator/>
      </w:r>
    </w:p>
  </w:endnote>
  <w:endnote w:type="continuationSeparator" w:id="1">
    <w:p w:rsidR="001D3B87" w:rsidRDefault="001D3B87" w:rsidP="00F7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D1" w:rsidRDefault="00D01652">
    <w:pPr>
      <w:pStyle w:val="Footer"/>
      <w:jc w:val="center"/>
    </w:pPr>
    <w:fldSimple w:instr="PAGE">
      <w:r w:rsidR="00C916D1">
        <w:t>30</w:t>
      </w:r>
    </w:fldSimple>
  </w:p>
  <w:p w:rsidR="00C916D1" w:rsidRDefault="00C91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D1" w:rsidRPr="00762B2E" w:rsidRDefault="00C916D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87" w:rsidRDefault="001D3B87" w:rsidP="00F73AB8">
      <w:pPr>
        <w:spacing w:after="0" w:line="240" w:lineRule="auto"/>
      </w:pPr>
      <w:r>
        <w:separator/>
      </w:r>
    </w:p>
  </w:footnote>
  <w:footnote w:type="continuationSeparator" w:id="1">
    <w:p w:rsidR="001D3B87" w:rsidRDefault="001D3B87" w:rsidP="00F73AB8">
      <w:pPr>
        <w:spacing w:after="0" w:line="240" w:lineRule="auto"/>
      </w:pPr>
      <w:r>
        <w:continuationSeparator/>
      </w:r>
    </w:p>
  </w:footnote>
  <w:footnote w:id="2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Style w:val="st"/>
          <w:rFonts w:ascii="Times New Roman" w:hAnsi="Times New Roman"/>
          <w:sz w:val="22"/>
          <w:szCs w:val="22"/>
        </w:rPr>
        <w:t>Й. Шумпетер</w:t>
      </w:r>
      <w:r w:rsidRPr="0044505E">
        <w:rPr>
          <w:rStyle w:val="st"/>
          <w:rFonts w:ascii="Times New Roman" w:hAnsi="Times New Roman"/>
          <w:i/>
          <w:sz w:val="22"/>
          <w:szCs w:val="22"/>
        </w:rPr>
        <w:t>,</w:t>
      </w:r>
      <w:r w:rsidRPr="0044505E">
        <w:rPr>
          <w:rStyle w:val="a4"/>
          <w:rFonts w:ascii="Times New Roman" w:hAnsi="Times New Roman"/>
          <w:i w:val="0"/>
          <w:sz w:val="22"/>
          <w:szCs w:val="22"/>
        </w:rPr>
        <w:t xml:space="preserve"> Теория экономического развития</w:t>
      </w:r>
      <w:r w:rsidRPr="0044505E">
        <w:rPr>
          <w:rStyle w:val="st"/>
          <w:rFonts w:ascii="Times New Roman" w:hAnsi="Times New Roman"/>
          <w:sz w:val="22"/>
          <w:szCs w:val="22"/>
        </w:rPr>
        <w:t xml:space="preserve"> (нем. </w:t>
      </w:r>
      <w:r w:rsidRPr="0044505E">
        <w:rPr>
          <w:rStyle w:val="st"/>
          <w:rFonts w:ascii="Times New Roman" w:hAnsi="Times New Roman"/>
          <w:sz w:val="22"/>
          <w:szCs w:val="22"/>
          <w:lang w:val="en-GB"/>
        </w:rPr>
        <w:t>Theorie</w:t>
      </w:r>
      <w:r w:rsidRPr="0044505E">
        <w:rPr>
          <w:rStyle w:val="st"/>
          <w:rFonts w:ascii="Times New Roman" w:hAnsi="Times New Roman"/>
          <w:sz w:val="22"/>
          <w:szCs w:val="22"/>
        </w:rPr>
        <w:t xml:space="preserve"> </w:t>
      </w:r>
      <w:r w:rsidRPr="0044505E">
        <w:rPr>
          <w:rStyle w:val="st"/>
          <w:rFonts w:ascii="Times New Roman" w:hAnsi="Times New Roman"/>
          <w:sz w:val="22"/>
          <w:szCs w:val="22"/>
          <w:lang w:val="en-GB"/>
        </w:rPr>
        <w:t>der</w:t>
      </w:r>
      <w:r w:rsidRPr="0044505E">
        <w:rPr>
          <w:rStyle w:val="st"/>
          <w:rFonts w:ascii="Times New Roman" w:hAnsi="Times New Roman"/>
          <w:sz w:val="22"/>
          <w:szCs w:val="22"/>
        </w:rPr>
        <w:t xml:space="preserve"> </w:t>
      </w:r>
      <w:r w:rsidRPr="0044505E">
        <w:rPr>
          <w:rStyle w:val="st"/>
          <w:rFonts w:ascii="Times New Roman" w:hAnsi="Times New Roman"/>
          <w:sz w:val="22"/>
          <w:szCs w:val="22"/>
          <w:lang w:val="en-GB"/>
        </w:rPr>
        <w:t>wirtschaftlichen</w:t>
      </w:r>
      <w:r w:rsidRPr="0044505E">
        <w:rPr>
          <w:rStyle w:val="st"/>
          <w:rFonts w:ascii="Times New Roman" w:hAnsi="Times New Roman"/>
          <w:sz w:val="22"/>
          <w:szCs w:val="22"/>
        </w:rPr>
        <w:t xml:space="preserve"> </w:t>
      </w:r>
      <w:r w:rsidRPr="0044505E">
        <w:rPr>
          <w:rStyle w:val="st"/>
          <w:rFonts w:ascii="Times New Roman" w:hAnsi="Times New Roman"/>
          <w:sz w:val="22"/>
          <w:szCs w:val="22"/>
          <w:lang w:val="en-GB"/>
        </w:rPr>
        <w:t>Entwicklung</w:t>
      </w:r>
      <w:r w:rsidRPr="0044505E">
        <w:rPr>
          <w:rStyle w:val="st"/>
          <w:rFonts w:ascii="Times New Roman" w:hAnsi="Times New Roman"/>
          <w:sz w:val="22"/>
          <w:szCs w:val="22"/>
        </w:rPr>
        <w:t>, 1911).</w:t>
      </w:r>
    </w:p>
  </w:footnote>
  <w:footnote w:id="3">
    <w:p w:rsidR="00C916D1" w:rsidRPr="00694C30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Руководство Осло: рекомендации по сбору и анализу данных по инновациям,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Oslo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Manual</w:t>
      </w:r>
      <w:r w:rsidRPr="0044505E">
        <w:rPr>
          <w:rFonts w:ascii="Times New Roman" w:hAnsi="Times New Roman" w:cs="Times New Roman"/>
          <w:sz w:val="22"/>
          <w:szCs w:val="22"/>
        </w:rPr>
        <w:t xml:space="preserve">: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Guideline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Collecting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Interpreting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Innovation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Data</w:t>
      </w:r>
      <w:r w:rsidRPr="0044505E">
        <w:rPr>
          <w:rFonts w:ascii="Times New Roman" w:hAnsi="Times New Roman" w:cs="Times New Roman"/>
          <w:sz w:val="22"/>
          <w:szCs w:val="22"/>
        </w:rPr>
        <w:t>, 3</w:t>
      </w:r>
      <w:r w:rsidRPr="0044505E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rd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Ed</w:t>
      </w:r>
      <w:r w:rsidRPr="0044505E">
        <w:rPr>
          <w:rFonts w:ascii="Times New Roman" w:hAnsi="Times New Roman" w:cs="Times New Roman"/>
          <w:sz w:val="22"/>
          <w:szCs w:val="22"/>
        </w:rPr>
        <w:t xml:space="preserve">.,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joint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publication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OECD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Eurostat</w:t>
      </w:r>
      <w:r w:rsidRPr="0044505E">
        <w:rPr>
          <w:rFonts w:ascii="Times New Roman" w:hAnsi="Times New Roman" w:cs="Times New Roman"/>
          <w:sz w:val="22"/>
          <w:szCs w:val="22"/>
        </w:rPr>
        <w:t>, перевод на русский язык. М</w:t>
      </w:r>
      <w:r w:rsidRPr="00694C30">
        <w:rPr>
          <w:rFonts w:ascii="Times New Roman" w:hAnsi="Times New Roman" w:cs="Times New Roman"/>
          <w:sz w:val="22"/>
          <w:szCs w:val="22"/>
        </w:rPr>
        <w:t>.:</w:t>
      </w:r>
      <w:r w:rsidRPr="0044505E">
        <w:rPr>
          <w:rFonts w:ascii="Times New Roman" w:hAnsi="Times New Roman" w:cs="Times New Roman"/>
          <w:sz w:val="22"/>
          <w:szCs w:val="22"/>
        </w:rPr>
        <w:t>Государственное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учреждение</w:t>
      </w:r>
      <w:r w:rsidRPr="00694C30">
        <w:rPr>
          <w:rFonts w:ascii="Times New Roman" w:hAnsi="Times New Roman" w:cs="Times New Roman"/>
          <w:sz w:val="22"/>
          <w:szCs w:val="22"/>
        </w:rPr>
        <w:t xml:space="preserve"> «</w:t>
      </w:r>
      <w:r w:rsidRPr="0044505E">
        <w:rPr>
          <w:rFonts w:ascii="Times New Roman" w:hAnsi="Times New Roman" w:cs="Times New Roman"/>
          <w:sz w:val="22"/>
          <w:szCs w:val="22"/>
        </w:rPr>
        <w:t>Центр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исследований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статистики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науки</w:t>
      </w:r>
      <w:r w:rsidRPr="00694C30">
        <w:rPr>
          <w:rFonts w:ascii="Times New Roman" w:hAnsi="Times New Roman" w:cs="Times New Roman"/>
          <w:sz w:val="22"/>
          <w:szCs w:val="22"/>
        </w:rPr>
        <w:t>» (</w:t>
      </w:r>
      <w:r w:rsidRPr="0044505E">
        <w:rPr>
          <w:rFonts w:ascii="Times New Roman" w:hAnsi="Times New Roman" w:cs="Times New Roman"/>
          <w:sz w:val="22"/>
          <w:szCs w:val="22"/>
        </w:rPr>
        <w:t>ЦИСН</w:t>
      </w:r>
      <w:r w:rsidRPr="00694C30">
        <w:rPr>
          <w:rFonts w:ascii="Times New Roman" w:hAnsi="Times New Roman" w:cs="Times New Roman"/>
          <w:sz w:val="22"/>
          <w:szCs w:val="22"/>
        </w:rPr>
        <w:t>), 2006.</w:t>
      </w:r>
    </w:p>
  </w:footnote>
  <w:footnote w:id="4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694C30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Carl</w:t>
      </w:r>
      <w:r w:rsidRPr="00694C30">
        <w:rPr>
          <w:rFonts w:ascii="Times New Roman" w:hAnsi="Times New Roman" w:cs="Times New Roman"/>
          <w:sz w:val="22"/>
          <w:szCs w:val="22"/>
        </w:rPr>
        <w:t xml:space="preserve">.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694C30">
        <w:rPr>
          <w:rFonts w:ascii="Times New Roman" w:hAnsi="Times New Roman" w:cs="Times New Roman"/>
          <w:sz w:val="22"/>
          <w:szCs w:val="22"/>
        </w:rPr>
        <w:t xml:space="preserve">.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Dahlman</w:t>
      </w:r>
      <w:r w:rsidRPr="00694C30">
        <w:rPr>
          <w:rFonts w:ascii="Times New Roman" w:hAnsi="Times New Roman" w:cs="Times New Roman"/>
          <w:sz w:val="22"/>
          <w:szCs w:val="22"/>
        </w:rPr>
        <w:t xml:space="preserve">.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World Bank Knowledge Economy Products and Strategy: Emerging lessons// Washington DC, 2003.</w:t>
      </w:r>
    </w:p>
  </w:footnote>
  <w:footnote w:id="5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Style w:val="a3"/>
          <w:rFonts w:ascii="Times New Roman" w:hAnsi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Руководство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Осло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44505E">
        <w:rPr>
          <w:rFonts w:ascii="Times New Roman" w:hAnsi="Times New Roman" w:cs="Times New Roman"/>
          <w:sz w:val="22"/>
          <w:szCs w:val="22"/>
        </w:rPr>
        <w:t>рекомендации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по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сбору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анализу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данных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по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инновациям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, Oslo Manual: Guideline for Collecting and Interpreting Innovation Data, 3</w:t>
      </w:r>
      <w:r w:rsidRPr="0044505E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rd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Ed., A joint publication of OECD and Eurostat, </w:t>
      </w:r>
      <w:r w:rsidRPr="0044505E">
        <w:rPr>
          <w:rFonts w:ascii="Times New Roman" w:hAnsi="Times New Roman" w:cs="Times New Roman"/>
          <w:sz w:val="22"/>
          <w:szCs w:val="22"/>
        </w:rPr>
        <w:t>перевод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на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русский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язык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44505E">
        <w:rPr>
          <w:rFonts w:ascii="Times New Roman" w:hAnsi="Times New Roman" w:cs="Times New Roman"/>
          <w:sz w:val="22"/>
          <w:szCs w:val="22"/>
        </w:rPr>
        <w:t>М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.:</w:t>
      </w:r>
      <w:r w:rsidRPr="0044505E">
        <w:rPr>
          <w:rFonts w:ascii="Times New Roman" w:hAnsi="Times New Roman" w:cs="Times New Roman"/>
          <w:sz w:val="22"/>
          <w:szCs w:val="22"/>
        </w:rPr>
        <w:t>Государственное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учреждение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«</w:t>
      </w:r>
      <w:r w:rsidRPr="0044505E">
        <w:rPr>
          <w:rFonts w:ascii="Times New Roman" w:hAnsi="Times New Roman" w:cs="Times New Roman"/>
          <w:sz w:val="22"/>
          <w:szCs w:val="22"/>
        </w:rPr>
        <w:t>Центр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исследований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статистики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науки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» (</w:t>
      </w:r>
      <w:r w:rsidRPr="0044505E">
        <w:rPr>
          <w:rFonts w:ascii="Times New Roman" w:hAnsi="Times New Roman" w:cs="Times New Roman"/>
          <w:sz w:val="22"/>
          <w:szCs w:val="22"/>
        </w:rPr>
        <w:t>ЦИСН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), 2006.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</w:footnote>
  <w:footnote w:id="6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Style w:val="a3"/>
          <w:rFonts w:ascii="Times New Roman" w:hAnsi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Global Innovation Index 2012 (GII):</w:t>
      </w:r>
      <w:r w:rsidR="00601EC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Stronger Innovation Linkages for G</w:t>
      </w:r>
      <w:r w:rsidR="00601ECF">
        <w:rPr>
          <w:rFonts w:ascii="Times New Roman" w:hAnsi="Times New Roman" w:cs="Times New Roman"/>
          <w:sz w:val="22"/>
          <w:szCs w:val="22"/>
          <w:lang w:val="en-US"/>
        </w:rPr>
        <w:t>lobal Growth, INSEAD, 2012. 464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p.</w:t>
      </w:r>
    </w:p>
  </w:footnote>
  <w:footnote w:id="7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44505E">
        <w:rPr>
          <w:rFonts w:ascii="Times New Roman" w:hAnsi="Times New Roman" w:cs="Times New Roman"/>
          <w:sz w:val="22"/>
          <w:szCs w:val="22"/>
        </w:rPr>
        <w:t>Там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же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8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The Global Innovation Index (GII) 2012, Stronger Innovation Linkages for Grlobal Growth, Soumitra Dutta, INSEAD and WIPO, 2012.464 p.</w:t>
      </w:r>
    </w:p>
  </w:footnote>
  <w:footnote w:id="9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Источник Всемирный Банк, 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World</w:t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Bank</w:t>
      </w:r>
      <w:r w:rsidRPr="0044505E">
        <w:rPr>
          <w:rFonts w:ascii="Times New Roman" w:hAnsi="Times New Roman" w:cs="Times New Roman"/>
          <w:sz w:val="22"/>
          <w:szCs w:val="22"/>
        </w:rPr>
        <w:t xml:space="preserve">, 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GB"/>
        </w:rPr>
        <w:t>http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://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GB"/>
        </w:rPr>
        <w:t>data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GB"/>
        </w:rPr>
        <w:t>worldbank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GB"/>
        </w:rPr>
        <w:t>org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</w:p>
  </w:footnote>
  <w:footnote w:id="10">
    <w:p w:rsidR="00C916D1" w:rsidRPr="00A043FF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Goodridge P., Haskel J., Wallis G., UK Innovation Index: Productivity and Growth in UK Industries, July 2012. </w:t>
      </w:r>
      <w:r w:rsidRPr="00A043FF">
        <w:rPr>
          <w:rFonts w:ascii="Times New Roman" w:hAnsi="Times New Roman" w:cs="Times New Roman"/>
          <w:sz w:val="22"/>
          <w:szCs w:val="22"/>
        </w:rPr>
        <w:t xml:space="preserve">77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A043FF">
        <w:rPr>
          <w:rFonts w:ascii="Times New Roman" w:hAnsi="Times New Roman" w:cs="Times New Roman"/>
          <w:sz w:val="22"/>
          <w:szCs w:val="22"/>
        </w:rPr>
        <w:t>.</w:t>
      </w:r>
      <w:r w:rsidRPr="00A043FF">
        <w:rPr>
          <w:rStyle w:val="a3"/>
          <w:rFonts w:ascii="Times New Roman" w:hAnsi="Times New Roman"/>
          <w:sz w:val="22"/>
          <w:szCs w:val="22"/>
        </w:rPr>
        <w:tab/>
      </w:r>
    </w:p>
  </w:footnote>
  <w:footnote w:id="11">
    <w:p w:rsidR="00C916D1" w:rsidRPr="0044505E" w:rsidRDefault="00C916D1" w:rsidP="00A043FF">
      <w:pPr>
        <w:pStyle w:val="a5"/>
        <w:tabs>
          <w:tab w:val="left" w:pos="316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Ibid.</w:t>
      </w:r>
      <w:r w:rsidR="00A043FF">
        <w:rPr>
          <w:rFonts w:ascii="Times New Roman" w:hAnsi="Times New Roman" w:cs="Times New Roman"/>
          <w:sz w:val="22"/>
          <w:szCs w:val="22"/>
          <w:lang w:val="en-US"/>
        </w:rPr>
        <w:tab/>
      </w:r>
    </w:p>
  </w:footnote>
  <w:footnote w:id="12">
    <w:p w:rsidR="00A043FF" w:rsidRPr="00A043FF" w:rsidRDefault="00C916D1" w:rsidP="00A043FF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Style w:val="a3"/>
          <w:rFonts w:ascii="Times New Roman" w:hAnsi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color w:val="00000A"/>
          <w:sz w:val="22"/>
          <w:szCs w:val="22"/>
          <w:lang w:val="en-GB"/>
        </w:rPr>
        <w:t xml:space="preserve">Battelle, </w:t>
      </w:r>
      <w:r w:rsidRPr="0044505E">
        <w:rPr>
          <w:rFonts w:ascii="Times New Roman" w:hAnsi="Times New Roman" w:cs="Times New Roman"/>
          <w:iCs/>
          <w:color w:val="00000A"/>
          <w:sz w:val="22"/>
          <w:szCs w:val="22"/>
          <w:lang w:val="en-GB"/>
        </w:rPr>
        <w:t>R&amp;D Magazine</w:t>
      </w:r>
      <w:r w:rsidRPr="0044505E">
        <w:rPr>
          <w:rFonts w:ascii="Times New Roman" w:hAnsi="Times New Roman" w:cs="Times New Roman"/>
          <w:color w:val="00000A"/>
          <w:sz w:val="22"/>
          <w:szCs w:val="22"/>
          <w:lang w:val="en-GB"/>
        </w:rPr>
        <w:t xml:space="preserve">, </w:t>
      </w:r>
      <w:r w:rsidRPr="0044505E">
        <w:rPr>
          <w:rFonts w:ascii="Times New Roman" w:hAnsi="Times New Roman" w:cs="Times New Roman"/>
          <w:color w:val="00000A"/>
          <w:sz w:val="22"/>
          <w:szCs w:val="22"/>
          <w:lang w:val="en-US"/>
        </w:rPr>
        <w:t xml:space="preserve">2013 Global R&amp;D Funding Forecast, December 2012. </w:t>
      </w:r>
      <w:r w:rsidRPr="00694C30">
        <w:rPr>
          <w:rFonts w:ascii="Times New Roman" w:hAnsi="Times New Roman" w:cs="Times New Roman"/>
          <w:color w:val="00000A"/>
          <w:sz w:val="22"/>
          <w:szCs w:val="22"/>
        </w:rPr>
        <w:t xml:space="preserve">36 </w:t>
      </w:r>
      <w:r w:rsidRPr="0044505E">
        <w:rPr>
          <w:rFonts w:ascii="Times New Roman" w:hAnsi="Times New Roman" w:cs="Times New Roman"/>
          <w:color w:val="00000A"/>
          <w:sz w:val="22"/>
          <w:szCs w:val="22"/>
          <w:lang w:val="en-US"/>
        </w:rPr>
        <w:t>p</w:t>
      </w:r>
      <w:r w:rsidRPr="00694C30">
        <w:rPr>
          <w:rFonts w:ascii="Times New Roman" w:hAnsi="Times New Roman" w:cs="Times New Roman"/>
          <w:color w:val="00000A"/>
          <w:sz w:val="22"/>
          <w:szCs w:val="22"/>
        </w:rPr>
        <w:t>.</w:t>
      </w:r>
      <w:r w:rsidR="00A043FF" w:rsidRPr="00694C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16D1" w:rsidRPr="0044505E" w:rsidRDefault="00C916D1" w:rsidP="0044505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13">
    <w:p w:rsidR="00C916D1" w:rsidRPr="0044505E" w:rsidRDefault="00C916D1" w:rsidP="0044505E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Киселев В.Н., Рубвальтер Д.А., Руденский О.В. Инновационная политика и национальные системы Канады, Великобритании, Италии, Германии и Японии// Информационно-аналитический бюллетень, №6, М.: ЦИСН. 2009.  </w:t>
      </w:r>
    </w:p>
  </w:footnote>
  <w:footnote w:id="14">
    <w:p w:rsidR="00C916D1" w:rsidRPr="0044505E" w:rsidRDefault="00C916D1" w:rsidP="0044505E">
      <w:pPr>
        <w:tabs>
          <w:tab w:val="left" w:pos="8221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 xml:space="preserve">Профессор Гарвардской школы, </w:t>
      </w:r>
      <w:r w:rsidRPr="0044505E">
        <w:rPr>
          <w:rFonts w:ascii="Times New Roman" w:hAnsi="Times New Roman" w:cs="Times New Roman"/>
          <w:bCs/>
          <w:spacing w:val="-6"/>
          <w:sz w:val="22"/>
          <w:szCs w:val="22"/>
          <w:lang w:eastAsia="ru-RU"/>
        </w:rPr>
        <w:t>Майкл Ю. Портер: «</w:t>
      </w:r>
      <w:r w:rsidRPr="0044505E">
        <w:rPr>
          <w:rFonts w:ascii="Times New Roman" w:hAnsi="Times New Roman" w:cs="Times New Roman"/>
          <w:sz w:val="22"/>
          <w:szCs w:val="22"/>
        </w:rPr>
        <w:t>кластеры являются организационной формой консолидации усилий заинтересованных сторон, направленных на достижение конкурентных преимуществ, в условиях становления постиндустриальной экономики».</w:t>
      </w:r>
    </w:p>
  </w:footnote>
  <w:footnote w:id="15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Science and innovation investment framework 2004-2014, HM Treasury, DTI and DfES, July 2004.</w:t>
      </w:r>
    </w:p>
  </w:footnote>
  <w:footnote w:id="16">
    <w:p w:rsidR="00C916D1" w:rsidRPr="00694C30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Innovation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Nation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, Department for Innovation, Universities &amp; Skills,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March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2008. 98 p.</w:t>
      </w:r>
      <w:r w:rsidR="00A043FF" w:rsidRPr="00A043F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</w:footnote>
  <w:footnote w:id="17">
    <w:p w:rsidR="00C916D1" w:rsidRPr="00694C30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694C30">
        <w:rPr>
          <w:rStyle w:val="a3"/>
          <w:rFonts w:ascii="Times New Roman" w:hAnsi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DIUS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Department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Innovation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Universities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Skills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), </w:t>
      </w:r>
      <w:r w:rsidRPr="0044505E">
        <w:rPr>
          <w:rFonts w:ascii="Times New Roman" w:hAnsi="Times New Roman" w:cs="Times New Roman"/>
          <w:sz w:val="22"/>
          <w:szCs w:val="22"/>
        </w:rPr>
        <w:t>образован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в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2007 </w:t>
      </w:r>
      <w:r w:rsidRPr="0044505E">
        <w:rPr>
          <w:rFonts w:ascii="Times New Roman" w:hAnsi="Times New Roman" w:cs="Times New Roman"/>
          <w:sz w:val="22"/>
          <w:szCs w:val="22"/>
        </w:rPr>
        <w:t>г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44505E">
        <w:rPr>
          <w:rFonts w:ascii="Times New Roman" w:hAnsi="Times New Roman" w:cs="Times New Roman"/>
          <w:sz w:val="22"/>
          <w:szCs w:val="22"/>
        </w:rPr>
        <w:t>путем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слияния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подразделений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бывших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Департамента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торговли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промышленности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Department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Trade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Industry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Pr="0044505E">
        <w:rPr>
          <w:rFonts w:ascii="Times New Roman" w:hAnsi="Times New Roman" w:cs="Times New Roman"/>
          <w:sz w:val="22"/>
          <w:szCs w:val="22"/>
        </w:rPr>
        <w:t>и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Департамента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образования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компетенций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Department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Education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Skills</w:t>
      </w:r>
      <w:r w:rsidRPr="00694C30">
        <w:rPr>
          <w:rFonts w:ascii="Times New Roman" w:hAnsi="Times New Roman" w:cs="Times New Roman"/>
          <w:sz w:val="22"/>
          <w:szCs w:val="22"/>
          <w:lang w:val="en-GB"/>
        </w:rPr>
        <w:t>).</w:t>
      </w:r>
    </w:p>
  </w:footnote>
  <w:footnote w:id="18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 The Innovation and Research Strategy for Growth (IRSG), December 2011.</w:t>
      </w:r>
    </w:p>
  </w:footnote>
  <w:footnote w:id="19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Innovation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Nation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, Department for Innovation, Universities &amp; Skills,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March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2008. p.12.</w:t>
      </w:r>
      <w:r w:rsidR="003F74CE" w:rsidRPr="003F7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20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Скотт. Р, Инновационная стратегия Великобритании, научный журнал НИУ ВШЭ Форсайт, №4, 2009, с. 17.</w:t>
      </w:r>
    </w:p>
  </w:footnote>
  <w:footnote w:id="21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Annual Innovation Report 2010, BIS, Department for Business Innovation &amp; Skills, Nesta, January 2011.</w:t>
      </w:r>
      <w:r w:rsidR="003F7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22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Ibid.</w:t>
      </w:r>
    </w:p>
  </w:footnote>
  <w:footnote w:id="23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UK 2011 Innovation and Research Strategy for Growth (IRSG), 2012.</w:t>
      </w:r>
    </w:p>
  </w:footnote>
  <w:footnote w:id="24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Графен</w:t>
      </w:r>
      <w:r w:rsidRPr="00694C30">
        <w:rPr>
          <w:rFonts w:ascii="Times New Roman" w:hAnsi="Times New Roman" w:cs="Times New Roman"/>
          <w:sz w:val="22"/>
          <w:szCs w:val="22"/>
        </w:rPr>
        <w:t xml:space="preserve"> – </w:t>
      </w:r>
      <w:r w:rsidRPr="0044505E">
        <w:rPr>
          <w:rFonts w:ascii="Times New Roman" w:hAnsi="Times New Roman" w:cs="Times New Roman"/>
          <w:sz w:val="22"/>
          <w:szCs w:val="22"/>
        </w:rPr>
        <w:t>самый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тонкий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на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земле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материал</w:t>
      </w:r>
      <w:r w:rsidRPr="00694C30">
        <w:rPr>
          <w:rFonts w:ascii="Times New Roman" w:hAnsi="Times New Roman" w:cs="Times New Roman"/>
          <w:sz w:val="22"/>
          <w:szCs w:val="22"/>
        </w:rPr>
        <w:t xml:space="preserve">, </w:t>
      </w:r>
      <w:r w:rsidRPr="0044505E">
        <w:rPr>
          <w:rFonts w:ascii="Times New Roman" w:hAnsi="Times New Roman" w:cs="Times New Roman"/>
          <w:sz w:val="22"/>
          <w:szCs w:val="22"/>
        </w:rPr>
        <w:t>полученный в 2004 г. в Манчестерском университете, за что в 2010 году академики этого британского ВУЗа Андрей Гейм и Константин Новоселов получили Нобелевскую премию в области физики. «материал будущего», используется для создания гибких сенсорных телефонов, тончайших автономных счетчиков нефти и газа, и даже синтетической крови, которая совместима с организмом любого человека.</w:t>
      </w:r>
    </w:p>
  </w:footnote>
  <w:footnote w:id="25">
    <w:p w:rsidR="00C916D1" w:rsidRPr="0044505E" w:rsidRDefault="00C916D1" w:rsidP="0044505E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Киселев В.Н., Рубвальтер Д.А., Руденский О.В. Инновационная политика и национальные системы Канады, Великобритании, Италии, Германии и Японии// Информационно-аналитический бюллетень, №6, М.: ЦИСН. 2009.  </w:t>
      </w:r>
    </w:p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tab/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6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Скотт. Р, Инновационная стратегия Великобритании, научный журнал НИУ ВШЭ Форсайт, №4, 2009, с. 19.</w:t>
      </w:r>
    </w:p>
  </w:footnote>
  <w:footnote w:id="27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Science &amp; Innovation Investment Framework 2004 – 2014, DTI, DfES, July 2004. 200 p.</w:t>
      </w:r>
    </w:p>
  </w:footnote>
  <w:footnote w:id="28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Style w:val="a3"/>
          <w:rFonts w:ascii="Times New Roman" w:hAnsi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The 2007 Comprehensive Spending Review, 2007. 106 p.</w:t>
      </w:r>
    </w:p>
  </w:footnote>
  <w:footnote w:id="29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Technology and Innovation Futures: UK Growth Opportunities for the 2020s – 2012 Refresh, BIS, 2012 70 p.</w:t>
      </w:r>
      <w:r w:rsidR="003F7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30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TSB Driving Innovation, </w:t>
      </w:r>
      <w:r w:rsidRPr="00091B09">
        <w:rPr>
          <w:rFonts w:ascii="Times New Roman" w:hAnsi="Times New Roman" w:cs="Times New Roman"/>
          <w:sz w:val="22"/>
          <w:szCs w:val="22"/>
          <w:u w:val="single"/>
          <w:lang w:val="en-US"/>
        </w:rPr>
        <w:t>http://innovateuk.org</w:t>
      </w:r>
    </w:p>
  </w:footnote>
  <w:footnote w:id="31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Innovation in Public Sector Organisations, a pilot survey for measuring innovation across the public sector, Nesta, March, 2011. 86 p.</w:t>
      </w:r>
      <w:r w:rsidRPr="0044505E">
        <w:rPr>
          <w:rStyle w:val="a3"/>
          <w:rFonts w:ascii="Times New Roman" w:hAnsi="Times New Roman"/>
          <w:sz w:val="22"/>
          <w:szCs w:val="22"/>
          <w:lang w:val="en-US"/>
        </w:rPr>
        <w:tab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32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Государство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в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XXI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веке</w:t>
      </w:r>
      <w:r w:rsidRPr="00694C30">
        <w:rPr>
          <w:rFonts w:ascii="Times New Roman" w:hAnsi="Times New Roman" w:cs="Times New Roman"/>
          <w:sz w:val="22"/>
          <w:szCs w:val="22"/>
        </w:rPr>
        <w:t xml:space="preserve"> - </w:t>
      </w:r>
      <w:r w:rsidRPr="0044505E">
        <w:rPr>
          <w:rFonts w:ascii="Times New Roman" w:hAnsi="Times New Roman" w:cs="Times New Roman"/>
          <w:sz w:val="22"/>
          <w:szCs w:val="22"/>
        </w:rPr>
        <w:t>деловое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издание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для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руководителей</w:t>
      </w:r>
      <w:r w:rsidRPr="00694C30">
        <w:rPr>
          <w:rFonts w:ascii="Times New Roman" w:hAnsi="Times New Roman" w:cs="Times New Roman"/>
          <w:sz w:val="22"/>
          <w:szCs w:val="22"/>
        </w:rPr>
        <w:t xml:space="preserve">, </w:t>
      </w:r>
      <w:r w:rsidRPr="0044505E">
        <w:rPr>
          <w:rFonts w:ascii="Times New Roman" w:hAnsi="Times New Roman" w:cs="Times New Roman"/>
          <w:sz w:val="22"/>
          <w:szCs w:val="22"/>
        </w:rPr>
        <w:t>принимающих</w:t>
      </w:r>
      <w:r w:rsidRPr="00694C30">
        <w:rPr>
          <w:rFonts w:ascii="Times New Roman" w:hAnsi="Times New Roman" w:cs="Times New Roman"/>
          <w:sz w:val="22"/>
          <w:szCs w:val="22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 xml:space="preserve">решения в области внедрения ИТ инноваций в государственном секторе, сферах образования и здравоохранения, </w:t>
      </w:r>
      <w:hyperlink r:id="rId1"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http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ru-RU"/>
          </w:rPr>
          <w:t>://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www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ru-RU"/>
          </w:rPr>
          <w:t>.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microsoft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ru-RU"/>
          </w:rPr>
          <w:t>.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com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ru-RU"/>
          </w:rPr>
          <w:t>/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ru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ru-RU"/>
          </w:rPr>
          <w:t>/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ru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ru-RU"/>
          </w:rPr>
          <w:t>/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government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ru-RU"/>
          </w:rPr>
          <w:t>/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lang w:val="en-GB"/>
          </w:rPr>
          <w:t>magazine</w:t>
        </w:r>
      </w:hyperlink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</w:p>
  </w:footnote>
  <w:footnote w:id="33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R&amp;D and Innovation – Strategy and support in the UK, Scotland, Wales and Republic of Ireland, NIAR, 26 January, 2012.</w:t>
      </w:r>
    </w:p>
  </w:footnote>
  <w:footnote w:id="34">
    <w:p w:rsidR="00C916D1" w:rsidRPr="0044505E" w:rsidRDefault="00C916D1" w:rsidP="0044505E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694C3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Technology Strategy Board.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Driving Innovation: Technology and Innovation </w:t>
      </w:r>
      <w:r w:rsidRPr="0044505E">
        <w:rPr>
          <w:rFonts w:ascii="Times New Roman" w:hAnsi="Times New Roman" w:cs="Times New Roman"/>
          <w:sz w:val="22"/>
          <w:szCs w:val="22"/>
        </w:rPr>
        <w:t>С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entres: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a prospectus, January,2011.</w:t>
      </w:r>
    </w:p>
  </w:footnote>
  <w:footnote w:id="35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R&amp;D and Innovation – strategy and support in the UK, Scotland, Wales and Republic of Ireland, 26 January 2012.</w:t>
      </w:r>
    </w:p>
  </w:footnote>
  <w:footnote w:id="36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Industrial Partnership Award and LINK schemes, BBSRC, September 2012. p.69.</w:t>
      </w:r>
    </w:p>
  </w:footnote>
  <w:footnote w:id="37">
    <w:p w:rsidR="00C916D1" w:rsidRPr="00694C30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694C3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Ibid</w:t>
      </w:r>
      <w:r w:rsidRPr="00694C30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38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Официальный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сайт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Knowledge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Transfer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>Partnerships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http://www.ktponline.org.uk</w:t>
      </w:r>
    </w:p>
  </w:footnote>
  <w:footnote w:id="39">
    <w:p w:rsidR="00C916D1" w:rsidRPr="0044505E" w:rsidRDefault="00C916D1" w:rsidP="0044505E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Иванова Н.И., Наука и инновации: выбор приоритетов/ Отв. Ред. – Иванова Н.И. – М.:ИМЭМО РАН, 2012.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44505E">
        <w:rPr>
          <w:rFonts w:ascii="Times New Roman" w:hAnsi="Times New Roman" w:cs="Times New Roman"/>
          <w:sz w:val="22"/>
          <w:szCs w:val="22"/>
        </w:rPr>
        <w:t>.122.</w:t>
      </w:r>
    </w:p>
  </w:footnote>
  <w:footnote w:id="40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Там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же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41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R&amp;D and Innovation – strategy and support in the UK, Scotland, Wales and Republic of Ireland, 26 January 2012.</w:t>
      </w:r>
    </w:p>
  </w:footnote>
  <w:footnote w:id="42">
    <w:p w:rsidR="00C916D1" w:rsidRPr="0044505E" w:rsidRDefault="00C916D1" w:rsidP="0044505E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</w:t>
      </w:r>
      <w:hyperlink r:id="rId2"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  <w:lang w:val="ru-RU"/>
          </w:rPr>
          <w:t>Киселев В.Н., Рубвальтер Д.А., Руденский О.В. Инновационная политика и национальные системы Канады, Великобритании, Италии, Германии и Японии. Информационно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</w:rPr>
          <w:t>-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  <w:lang w:val="ru-RU"/>
          </w:rPr>
          <w:t>аналитическая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</w:rPr>
          <w:t xml:space="preserve"> 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  <w:lang w:val="ru-RU"/>
          </w:rPr>
          <w:t>бюллетень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</w:rPr>
          <w:t xml:space="preserve">, 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  <w:lang w:val="ru-RU"/>
          </w:rPr>
          <w:t>ЦИСН</w:t>
        </w:r>
        <w:r w:rsidRPr="0044505E">
          <w:rPr>
            <w:rStyle w:val="InternetLink"/>
            <w:rFonts w:ascii="Times New Roman" w:hAnsi="Times New Roman"/>
            <w:color w:val="00000A"/>
            <w:sz w:val="22"/>
            <w:szCs w:val="22"/>
            <w:u w:val="none"/>
          </w:rPr>
          <w:t xml:space="preserve">. 2009. </w:t>
        </w:r>
      </w:hyperlink>
    </w:p>
  </w:footnote>
  <w:footnote w:id="43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R&amp;D and Innovation – strategy and support in the UK, Scotland, Wales and Republic of Ireland, 26 January 2012.</w:t>
      </w:r>
    </w:p>
  </w:footnote>
  <w:footnote w:id="44">
    <w:p w:rsidR="00C916D1" w:rsidRPr="0044505E" w:rsidRDefault="00C916D1" w:rsidP="0044505E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Style w:val="a3"/>
          <w:rFonts w:ascii="Times New Roman" w:hAnsi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Technology Strategy Board.</w:t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Driving Innovation, Overview, 2011.</w:t>
      </w:r>
    </w:p>
  </w:footnote>
  <w:footnote w:id="45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GB"/>
        </w:rPr>
        <w:t xml:space="preserve"> R&amp;D and Innovation – strategy and support in the UK, Scotland, Wales and Republic of Ireland, 26 January 2012.</w:t>
      </w:r>
    </w:p>
  </w:footnote>
  <w:footnote w:id="46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>http://www.techworld.com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, Small Business Research Initiative passes £100 mln. SME contracts, 09 April, 2014.</w:t>
      </w:r>
    </w:p>
  </w:footnote>
  <w:footnote w:id="47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Style w:val="a3"/>
          <w:rFonts w:ascii="Times New Roman" w:hAnsi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Там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505E">
        <w:rPr>
          <w:rFonts w:ascii="Times New Roman" w:hAnsi="Times New Roman" w:cs="Times New Roman"/>
          <w:sz w:val="22"/>
          <w:szCs w:val="22"/>
        </w:rPr>
        <w:t>же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48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SMART Awards, SMART – Small firms’ Merit Award for Research and Technology.</w:t>
      </w:r>
    </w:p>
  </w:footnote>
  <w:footnote w:id="49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Budget 2012, L.: HM Treasury, 21 March 2012, 114 p.</w:t>
      </w:r>
    </w:p>
  </w:footnote>
  <w:footnote w:id="50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E&amp;T, Aerodynamics centre to open in the UK.</w:t>
      </w:r>
    </w:p>
  </w:footnote>
  <w:footnote w:id="51">
    <w:p w:rsidR="00C916D1" w:rsidRPr="0044505E" w:rsidRDefault="00C916D1" w:rsidP="0044505E">
      <w:pPr>
        <w:pStyle w:val="a5"/>
        <w:tabs>
          <w:tab w:val="left" w:pos="571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UK Aerodynamics Centre, Ogilvie F., Aril 24</w:t>
      </w:r>
      <w:r w:rsidRPr="0044505E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, 2013. p.15</w:t>
      </w:r>
    </w:p>
  </w:footnote>
  <w:footnote w:id="52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Aerospace Industrial Strategy, Lifting Off, Aerospace Growth Partnership (AGP), 18</w:t>
      </w:r>
      <w:r w:rsidRPr="0044505E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March, 2013. </w:t>
      </w:r>
      <w:r w:rsidRPr="0044505E">
        <w:rPr>
          <w:rFonts w:ascii="Times New Roman" w:hAnsi="Times New Roman" w:cs="Times New Roman"/>
          <w:sz w:val="22"/>
          <w:szCs w:val="22"/>
        </w:rPr>
        <w:t xml:space="preserve">72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4505E">
        <w:rPr>
          <w:rFonts w:ascii="Times New Roman" w:hAnsi="Times New Roman" w:cs="Times New Roman"/>
          <w:sz w:val="22"/>
          <w:szCs w:val="22"/>
        </w:rPr>
        <w:t>.</w:t>
      </w:r>
    </w:p>
  </w:footnote>
  <w:footnote w:id="53">
    <w:p w:rsidR="00C916D1" w:rsidRPr="0044505E" w:rsidRDefault="00C916D1" w:rsidP="0044505E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Иванова Н.И., Наука и инновации: выбор приоритетов/ Отв. Ред. – Иванова Н.И. – М.:ИМЭМО РАН, с.108.</w:t>
      </w:r>
    </w:p>
  </w:footnote>
  <w:footnote w:id="54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Stimulating private sector investment to achieve a transformation in broadband in the UK by 2015, 27 February 2013.</w:t>
      </w:r>
    </w:p>
  </w:footnote>
  <w:footnote w:id="55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2F3B15">
        <w:rPr>
          <w:rFonts w:ascii="Times New Roman" w:hAnsi="Times New Roman" w:cs="Times New Roman"/>
          <w:sz w:val="22"/>
          <w:szCs w:val="22"/>
          <w:lang w:val="en-US"/>
        </w:rPr>
        <w:t>Ibid.</w:t>
      </w:r>
    </w:p>
  </w:footnote>
  <w:footnote w:id="56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Government support for innovation must be less timid. http://www.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>wired.co.uk/news/archive/2013-03/19/government-innovation.</w:t>
      </w:r>
    </w:p>
  </w:footnote>
  <w:footnote w:id="57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 Данные взяты с официального сайта </w:t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>TSB</w:t>
      </w:r>
      <w:r w:rsidRPr="0044505E">
        <w:rPr>
          <w:rFonts w:ascii="Times New Roman" w:hAnsi="Times New Roman" w:cs="Times New Roman"/>
          <w:sz w:val="22"/>
          <w:szCs w:val="22"/>
        </w:rPr>
        <w:t xml:space="preserve">. 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>http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://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>innovateuk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4505E">
        <w:rPr>
          <w:rFonts w:ascii="Times New Roman" w:hAnsi="Times New Roman" w:cs="Times New Roman"/>
          <w:sz w:val="22"/>
          <w:szCs w:val="22"/>
          <w:u w:val="single"/>
          <w:lang w:val="en-US"/>
        </w:rPr>
        <w:t>org</w:t>
      </w:r>
      <w:r w:rsidRPr="0044505E">
        <w:rPr>
          <w:rFonts w:ascii="Times New Roman" w:hAnsi="Times New Roman" w:cs="Times New Roman"/>
          <w:sz w:val="22"/>
          <w:szCs w:val="22"/>
          <w:u w:val="single"/>
        </w:rPr>
        <w:t>.</w:t>
      </w:r>
    </w:p>
  </w:footnote>
  <w:footnote w:id="58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  <w:lang w:val="en-US"/>
        </w:rPr>
        <w:t xml:space="preserve"> A Review of Business-University Collaboration, Wilson T, February 2012. p. 58(89)</w:t>
      </w:r>
    </w:p>
  </w:footnote>
  <w:footnote w:id="59">
    <w:p w:rsidR="00C916D1" w:rsidRPr="0044505E" w:rsidRDefault="00C916D1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Долина смерти – проблема, возникающая на ранних стадиях реализации инновационного проекта, процесс перехода от создания прототипа нового продукта к стадии коммерческого освоения. </w:t>
      </w:r>
    </w:p>
  </w:footnote>
  <w:footnote w:id="60">
    <w:p w:rsidR="0044505E" w:rsidRPr="0044505E" w:rsidRDefault="0044505E" w:rsidP="0044505E">
      <w:pPr>
        <w:pStyle w:val="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05E">
        <w:rPr>
          <w:rStyle w:val="a3"/>
          <w:rFonts w:ascii="Times New Roman" w:hAnsi="Times New Roman"/>
          <w:sz w:val="22"/>
          <w:szCs w:val="22"/>
        </w:rPr>
        <w:footnoteRef/>
      </w:r>
      <w:r w:rsidRPr="0044505E">
        <w:rPr>
          <w:rFonts w:ascii="Times New Roman" w:hAnsi="Times New Roman" w:cs="Times New Roman"/>
          <w:sz w:val="22"/>
          <w:szCs w:val="22"/>
        </w:rPr>
        <w:t xml:space="preserve"> Иванова Н.И., Наука и инновации: выбор приоритетов/ Отв. Ред. – Иванова Н.И. – М.:ИМЭМО РАН, 2012 –с.112.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0300483"/>
      <w:docPartObj>
        <w:docPartGallery w:val="Page Numbers (Top of Page)"/>
        <w:docPartUnique/>
      </w:docPartObj>
    </w:sdtPr>
    <w:sdtContent>
      <w:p w:rsidR="00C916D1" w:rsidRPr="007563C1" w:rsidRDefault="00D01652" w:rsidP="007563C1">
        <w:pPr>
          <w:pStyle w:val="ab"/>
          <w:ind w:left="-851"/>
          <w:jc w:val="center"/>
          <w:rPr>
            <w:rFonts w:ascii="Times New Roman" w:hAnsi="Times New Roman" w:cs="Times New Roman"/>
          </w:rPr>
        </w:pPr>
        <w:r w:rsidRPr="007563C1">
          <w:rPr>
            <w:rFonts w:ascii="Times New Roman" w:hAnsi="Times New Roman" w:cs="Times New Roman"/>
          </w:rPr>
          <w:fldChar w:fldCharType="begin"/>
        </w:r>
        <w:r w:rsidR="00C916D1" w:rsidRPr="007563C1">
          <w:rPr>
            <w:rFonts w:ascii="Times New Roman" w:hAnsi="Times New Roman" w:cs="Times New Roman"/>
          </w:rPr>
          <w:instrText xml:space="preserve"> PAGE   \* MERGEFORMAT </w:instrText>
        </w:r>
        <w:r w:rsidRPr="007563C1">
          <w:rPr>
            <w:rFonts w:ascii="Times New Roman" w:hAnsi="Times New Roman" w:cs="Times New Roman"/>
          </w:rPr>
          <w:fldChar w:fldCharType="separate"/>
        </w:r>
        <w:r w:rsidR="001D2666">
          <w:rPr>
            <w:rFonts w:ascii="Times New Roman" w:hAnsi="Times New Roman" w:cs="Times New Roman"/>
            <w:noProof/>
          </w:rPr>
          <w:t>40</w:t>
        </w:r>
        <w:r w:rsidRPr="007563C1">
          <w:rPr>
            <w:rFonts w:ascii="Times New Roman" w:hAnsi="Times New Roman" w:cs="Times New Roman"/>
          </w:rPr>
          <w:fldChar w:fldCharType="end"/>
        </w:r>
      </w:p>
    </w:sdtContent>
  </w:sdt>
  <w:p w:rsidR="00C916D1" w:rsidRDefault="00C916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FC6"/>
    <w:multiLevelType w:val="multilevel"/>
    <w:tmpl w:val="D2B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B3871"/>
    <w:multiLevelType w:val="hybridMultilevel"/>
    <w:tmpl w:val="2FA2E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AE2"/>
    <w:multiLevelType w:val="multilevel"/>
    <w:tmpl w:val="1666A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7627672"/>
    <w:multiLevelType w:val="multilevel"/>
    <w:tmpl w:val="480C5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322A5"/>
    <w:multiLevelType w:val="multilevel"/>
    <w:tmpl w:val="831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E7030"/>
    <w:multiLevelType w:val="multilevel"/>
    <w:tmpl w:val="C948834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15574FDA"/>
    <w:multiLevelType w:val="multilevel"/>
    <w:tmpl w:val="51160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04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280" w:hanging="108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520" w:hanging="1440"/>
      </w:pPr>
    </w:lvl>
    <w:lvl w:ilvl="8">
      <w:start w:val="1"/>
      <w:numFmt w:val="decimal"/>
      <w:lvlText w:val="%1.%2.%3.%4.%5.%6.%7.%8.%9."/>
      <w:lvlJc w:val="left"/>
      <w:pPr>
        <w:ind w:left="5320" w:hanging="1800"/>
      </w:pPr>
    </w:lvl>
  </w:abstractNum>
  <w:abstractNum w:abstractNumId="7">
    <w:nsid w:val="1F8563C3"/>
    <w:multiLevelType w:val="multilevel"/>
    <w:tmpl w:val="EF320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E3135E"/>
    <w:multiLevelType w:val="multilevel"/>
    <w:tmpl w:val="2A0C52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9">
    <w:nsid w:val="314D2277"/>
    <w:multiLevelType w:val="multilevel"/>
    <w:tmpl w:val="DAA22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8"/>
      </w:rPr>
    </w:lvl>
  </w:abstractNum>
  <w:abstractNum w:abstractNumId="10">
    <w:nsid w:val="3DAB0964"/>
    <w:multiLevelType w:val="multilevel"/>
    <w:tmpl w:val="ECDC5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B65B17"/>
    <w:multiLevelType w:val="multilevel"/>
    <w:tmpl w:val="73EA5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922171"/>
    <w:multiLevelType w:val="multilevel"/>
    <w:tmpl w:val="28D62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817982"/>
    <w:multiLevelType w:val="multilevel"/>
    <w:tmpl w:val="2DA2F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F405D3B"/>
    <w:multiLevelType w:val="hybridMultilevel"/>
    <w:tmpl w:val="2FA2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52FD3"/>
    <w:multiLevelType w:val="multilevel"/>
    <w:tmpl w:val="F6A24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DD3686"/>
    <w:multiLevelType w:val="multilevel"/>
    <w:tmpl w:val="EFAAD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6427D7"/>
    <w:multiLevelType w:val="multilevel"/>
    <w:tmpl w:val="2DA2F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67E0320"/>
    <w:multiLevelType w:val="multilevel"/>
    <w:tmpl w:val="755244D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sz w:val="28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12"/>
  </w:num>
  <w:num w:numId="10">
    <w:abstractNumId w:val="18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AB8"/>
    <w:rsid w:val="00003124"/>
    <w:rsid w:val="00003899"/>
    <w:rsid w:val="00006597"/>
    <w:rsid w:val="00012636"/>
    <w:rsid w:val="00016C22"/>
    <w:rsid w:val="0002317D"/>
    <w:rsid w:val="00026E34"/>
    <w:rsid w:val="00026F27"/>
    <w:rsid w:val="00032079"/>
    <w:rsid w:val="00034AA1"/>
    <w:rsid w:val="00034EF9"/>
    <w:rsid w:val="00040F86"/>
    <w:rsid w:val="00044843"/>
    <w:rsid w:val="00044A9F"/>
    <w:rsid w:val="0004698E"/>
    <w:rsid w:val="000504D7"/>
    <w:rsid w:val="0005125D"/>
    <w:rsid w:val="000548C8"/>
    <w:rsid w:val="000551A7"/>
    <w:rsid w:val="00055880"/>
    <w:rsid w:val="000559D6"/>
    <w:rsid w:val="00056287"/>
    <w:rsid w:val="000609F6"/>
    <w:rsid w:val="00061D5A"/>
    <w:rsid w:val="0006325B"/>
    <w:rsid w:val="00066AA4"/>
    <w:rsid w:val="000679DA"/>
    <w:rsid w:val="000767CE"/>
    <w:rsid w:val="00076BBB"/>
    <w:rsid w:val="0009073D"/>
    <w:rsid w:val="0009112C"/>
    <w:rsid w:val="00091B09"/>
    <w:rsid w:val="00094F24"/>
    <w:rsid w:val="00095053"/>
    <w:rsid w:val="000952BC"/>
    <w:rsid w:val="00096837"/>
    <w:rsid w:val="000A4D97"/>
    <w:rsid w:val="000A5297"/>
    <w:rsid w:val="000B1872"/>
    <w:rsid w:val="000B1A62"/>
    <w:rsid w:val="000B2748"/>
    <w:rsid w:val="000B2C52"/>
    <w:rsid w:val="000B36EB"/>
    <w:rsid w:val="000B3EC1"/>
    <w:rsid w:val="000B48E9"/>
    <w:rsid w:val="000C1908"/>
    <w:rsid w:val="000C53D3"/>
    <w:rsid w:val="000C5E3E"/>
    <w:rsid w:val="000D04AA"/>
    <w:rsid w:val="000D3ED3"/>
    <w:rsid w:val="000D770D"/>
    <w:rsid w:val="000E0485"/>
    <w:rsid w:val="000E2D11"/>
    <w:rsid w:val="000E381F"/>
    <w:rsid w:val="000E7007"/>
    <w:rsid w:val="000F3E5D"/>
    <w:rsid w:val="000F4125"/>
    <w:rsid w:val="001002AB"/>
    <w:rsid w:val="00100D04"/>
    <w:rsid w:val="00102E15"/>
    <w:rsid w:val="00103D25"/>
    <w:rsid w:val="00107DAC"/>
    <w:rsid w:val="00107F50"/>
    <w:rsid w:val="00112C80"/>
    <w:rsid w:val="00114C4D"/>
    <w:rsid w:val="00115784"/>
    <w:rsid w:val="001165E4"/>
    <w:rsid w:val="0012072B"/>
    <w:rsid w:val="0012684F"/>
    <w:rsid w:val="00130E82"/>
    <w:rsid w:val="00133541"/>
    <w:rsid w:val="00135132"/>
    <w:rsid w:val="00137171"/>
    <w:rsid w:val="00137D87"/>
    <w:rsid w:val="0014187A"/>
    <w:rsid w:val="00141E01"/>
    <w:rsid w:val="00151327"/>
    <w:rsid w:val="00151465"/>
    <w:rsid w:val="00152A1E"/>
    <w:rsid w:val="00155C59"/>
    <w:rsid w:val="001564D5"/>
    <w:rsid w:val="00156B4D"/>
    <w:rsid w:val="00157E56"/>
    <w:rsid w:val="0016328A"/>
    <w:rsid w:val="001719FA"/>
    <w:rsid w:val="0017220A"/>
    <w:rsid w:val="00177D9F"/>
    <w:rsid w:val="001828C8"/>
    <w:rsid w:val="00195940"/>
    <w:rsid w:val="0019602A"/>
    <w:rsid w:val="00196AA7"/>
    <w:rsid w:val="00197A78"/>
    <w:rsid w:val="001A04E0"/>
    <w:rsid w:val="001A23B5"/>
    <w:rsid w:val="001A24BA"/>
    <w:rsid w:val="001A504E"/>
    <w:rsid w:val="001B1665"/>
    <w:rsid w:val="001B3F77"/>
    <w:rsid w:val="001B752C"/>
    <w:rsid w:val="001B78E3"/>
    <w:rsid w:val="001C2F66"/>
    <w:rsid w:val="001C4FA5"/>
    <w:rsid w:val="001C543E"/>
    <w:rsid w:val="001D0581"/>
    <w:rsid w:val="001D0F70"/>
    <w:rsid w:val="001D10FF"/>
    <w:rsid w:val="001D24DF"/>
    <w:rsid w:val="001D2666"/>
    <w:rsid w:val="001D2ED2"/>
    <w:rsid w:val="001D3B87"/>
    <w:rsid w:val="001D4B6E"/>
    <w:rsid w:val="001D71CA"/>
    <w:rsid w:val="001D7B8B"/>
    <w:rsid w:val="001E71AC"/>
    <w:rsid w:val="001E7539"/>
    <w:rsid w:val="001F1CB4"/>
    <w:rsid w:val="001F2040"/>
    <w:rsid w:val="002056F2"/>
    <w:rsid w:val="002072DE"/>
    <w:rsid w:val="00211542"/>
    <w:rsid w:val="00213BA7"/>
    <w:rsid w:val="0021590F"/>
    <w:rsid w:val="0021739B"/>
    <w:rsid w:val="0021786A"/>
    <w:rsid w:val="002215C4"/>
    <w:rsid w:val="00222C5E"/>
    <w:rsid w:val="0022394D"/>
    <w:rsid w:val="00224CD4"/>
    <w:rsid w:val="002313ED"/>
    <w:rsid w:val="00241DFF"/>
    <w:rsid w:val="00242553"/>
    <w:rsid w:val="002429D0"/>
    <w:rsid w:val="002460CF"/>
    <w:rsid w:val="00247CD1"/>
    <w:rsid w:val="002513C8"/>
    <w:rsid w:val="002531C8"/>
    <w:rsid w:val="002537AC"/>
    <w:rsid w:val="00255E3C"/>
    <w:rsid w:val="00262B3F"/>
    <w:rsid w:val="00266E35"/>
    <w:rsid w:val="00273689"/>
    <w:rsid w:val="002743F4"/>
    <w:rsid w:val="002757A8"/>
    <w:rsid w:val="00277725"/>
    <w:rsid w:val="0028438D"/>
    <w:rsid w:val="00284E21"/>
    <w:rsid w:val="00292881"/>
    <w:rsid w:val="00293C61"/>
    <w:rsid w:val="0029454F"/>
    <w:rsid w:val="00294FCC"/>
    <w:rsid w:val="002A29FC"/>
    <w:rsid w:val="002A3111"/>
    <w:rsid w:val="002A3B9E"/>
    <w:rsid w:val="002A5228"/>
    <w:rsid w:val="002A7348"/>
    <w:rsid w:val="002B1077"/>
    <w:rsid w:val="002C5712"/>
    <w:rsid w:val="002C7E65"/>
    <w:rsid w:val="002D00A3"/>
    <w:rsid w:val="002D11F2"/>
    <w:rsid w:val="002D1555"/>
    <w:rsid w:val="002D545F"/>
    <w:rsid w:val="002D655C"/>
    <w:rsid w:val="002E00F4"/>
    <w:rsid w:val="002E06E4"/>
    <w:rsid w:val="002E2498"/>
    <w:rsid w:val="002E388C"/>
    <w:rsid w:val="002E4F21"/>
    <w:rsid w:val="002E6D6C"/>
    <w:rsid w:val="002E7A5A"/>
    <w:rsid w:val="002F32A1"/>
    <w:rsid w:val="002F3B15"/>
    <w:rsid w:val="002F4569"/>
    <w:rsid w:val="002F4FEC"/>
    <w:rsid w:val="002F6116"/>
    <w:rsid w:val="00300B05"/>
    <w:rsid w:val="00302F1C"/>
    <w:rsid w:val="00303929"/>
    <w:rsid w:val="003042E4"/>
    <w:rsid w:val="00304AB6"/>
    <w:rsid w:val="00312697"/>
    <w:rsid w:val="0031288D"/>
    <w:rsid w:val="00312F0C"/>
    <w:rsid w:val="00333E20"/>
    <w:rsid w:val="0033408D"/>
    <w:rsid w:val="003345FC"/>
    <w:rsid w:val="00335AA4"/>
    <w:rsid w:val="00340886"/>
    <w:rsid w:val="003527B2"/>
    <w:rsid w:val="00353122"/>
    <w:rsid w:val="003723DF"/>
    <w:rsid w:val="00373A5B"/>
    <w:rsid w:val="00374A72"/>
    <w:rsid w:val="00376A1D"/>
    <w:rsid w:val="00381055"/>
    <w:rsid w:val="00384C90"/>
    <w:rsid w:val="003853C4"/>
    <w:rsid w:val="003868B4"/>
    <w:rsid w:val="00386A82"/>
    <w:rsid w:val="00390682"/>
    <w:rsid w:val="003917CB"/>
    <w:rsid w:val="003932B5"/>
    <w:rsid w:val="003947CC"/>
    <w:rsid w:val="00395E96"/>
    <w:rsid w:val="003A046D"/>
    <w:rsid w:val="003B1CBF"/>
    <w:rsid w:val="003B4311"/>
    <w:rsid w:val="003B44FE"/>
    <w:rsid w:val="003C14B8"/>
    <w:rsid w:val="003C3898"/>
    <w:rsid w:val="003C3908"/>
    <w:rsid w:val="003C43D1"/>
    <w:rsid w:val="003D25DD"/>
    <w:rsid w:val="003D3DE7"/>
    <w:rsid w:val="003D43A2"/>
    <w:rsid w:val="003D48F1"/>
    <w:rsid w:val="003D49A5"/>
    <w:rsid w:val="003D5E39"/>
    <w:rsid w:val="003D697D"/>
    <w:rsid w:val="003E2A0A"/>
    <w:rsid w:val="003E2C90"/>
    <w:rsid w:val="003E3BA6"/>
    <w:rsid w:val="003E4829"/>
    <w:rsid w:val="003F0145"/>
    <w:rsid w:val="003F0E6C"/>
    <w:rsid w:val="003F4E25"/>
    <w:rsid w:val="003F74CE"/>
    <w:rsid w:val="00401197"/>
    <w:rsid w:val="004036F3"/>
    <w:rsid w:val="004073B7"/>
    <w:rsid w:val="00411E1F"/>
    <w:rsid w:val="004120BE"/>
    <w:rsid w:val="00413FF7"/>
    <w:rsid w:val="00416663"/>
    <w:rsid w:val="00416D31"/>
    <w:rsid w:val="00417864"/>
    <w:rsid w:val="00417F4F"/>
    <w:rsid w:val="004205C7"/>
    <w:rsid w:val="004209BC"/>
    <w:rsid w:val="004244B9"/>
    <w:rsid w:val="0043152B"/>
    <w:rsid w:val="00432CAD"/>
    <w:rsid w:val="00435D2B"/>
    <w:rsid w:val="0044505E"/>
    <w:rsid w:val="004466D3"/>
    <w:rsid w:val="00446EBD"/>
    <w:rsid w:val="00447372"/>
    <w:rsid w:val="00447F42"/>
    <w:rsid w:val="00450376"/>
    <w:rsid w:val="00450490"/>
    <w:rsid w:val="00452D92"/>
    <w:rsid w:val="00454E68"/>
    <w:rsid w:val="0045656E"/>
    <w:rsid w:val="004568EA"/>
    <w:rsid w:val="004629FB"/>
    <w:rsid w:val="00465D0F"/>
    <w:rsid w:val="00470229"/>
    <w:rsid w:val="00470713"/>
    <w:rsid w:val="00471EF2"/>
    <w:rsid w:val="00472419"/>
    <w:rsid w:val="00473580"/>
    <w:rsid w:val="00473A71"/>
    <w:rsid w:val="00475168"/>
    <w:rsid w:val="004768C7"/>
    <w:rsid w:val="00476AE8"/>
    <w:rsid w:val="004816B7"/>
    <w:rsid w:val="00482E09"/>
    <w:rsid w:val="00482E13"/>
    <w:rsid w:val="004831CE"/>
    <w:rsid w:val="0048381E"/>
    <w:rsid w:val="00484344"/>
    <w:rsid w:val="00485D58"/>
    <w:rsid w:val="004933FB"/>
    <w:rsid w:val="00496EBD"/>
    <w:rsid w:val="004972E0"/>
    <w:rsid w:val="004975DF"/>
    <w:rsid w:val="004A1E9D"/>
    <w:rsid w:val="004A2B3D"/>
    <w:rsid w:val="004A3980"/>
    <w:rsid w:val="004A622C"/>
    <w:rsid w:val="004B0B08"/>
    <w:rsid w:val="004B1570"/>
    <w:rsid w:val="004B1763"/>
    <w:rsid w:val="004B1AFE"/>
    <w:rsid w:val="004B741B"/>
    <w:rsid w:val="004C3BFA"/>
    <w:rsid w:val="004C6E6F"/>
    <w:rsid w:val="004C7E2B"/>
    <w:rsid w:val="004D0581"/>
    <w:rsid w:val="004D0595"/>
    <w:rsid w:val="004D0D1A"/>
    <w:rsid w:val="004D40AD"/>
    <w:rsid w:val="004E0F14"/>
    <w:rsid w:val="004E2C93"/>
    <w:rsid w:val="004E374E"/>
    <w:rsid w:val="004F2028"/>
    <w:rsid w:val="004F230F"/>
    <w:rsid w:val="004F23D8"/>
    <w:rsid w:val="004F358D"/>
    <w:rsid w:val="004F4F01"/>
    <w:rsid w:val="004F7B61"/>
    <w:rsid w:val="005024D8"/>
    <w:rsid w:val="00503EF1"/>
    <w:rsid w:val="0051114D"/>
    <w:rsid w:val="00511961"/>
    <w:rsid w:val="00517864"/>
    <w:rsid w:val="0052239C"/>
    <w:rsid w:val="00530BA7"/>
    <w:rsid w:val="00531538"/>
    <w:rsid w:val="005364F9"/>
    <w:rsid w:val="00536702"/>
    <w:rsid w:val="005370C9"/>
    <w:rsid w:val="00541D5B"/>
    <w:rsid w:val="00541F39"/>
    <w:rsid w:val="00542859"/>
    <w:rsid w:val="0055347E"/>
    <w:rsid w:val="00553EA3"/>
    <w:rsid w:val="00554CC0"/>
    <w:rsid w:val="00566659"/>
    <w:rsid w:val="00575463"/>
    <w:rsid w:val="00576FB9"/>
    <w:rsid w:val="00580032"/>
    <w:rsid w:val="005825E6"/>
    <w:rsid w:val="00582D46"/>
    <w:rsid w:val="00582F6A"/>
    <w:rsid w:val="00583779"/>
    <w:rsid w:val="00583D51"/>
    <w:rsid w:val="0058445E"/>
    <w:rsid w:val="00584763"/>
    <w:rsid w:val="005856A9"/>
    <w:rsid w:val="0059053E"/>
    <w:rsid w:val="00596B5E"/>
    <w:rsid w:val="005A037A"/>
    <w:rsid w:val="005A3C83"/>
    <w:rsid w:val="005A3C8D"/>
    <w:rsid w:val="005A43CC"/>
    <w:rsid w:val="005A4824"/>
    <w:rsid w:val="005A6327"/>
    <w:rsid w:val="005A6AED"/>
    <w:rsid w:val="005B52E2"/>
    <w:rsid w:val="005B5AD7"/>
    <w:rsid w:val="005C24B5"/>
    <w:rsid w:val="005C38CF"/>
    <w:rsid w:val="005C3C04"/>
    <w:rsid w:val="005C56FC"/>
    <w:rsid w:val="005D5F73"/>
    <w:rsid w:val="005D63EF"/>
    <w:rsid w:val="005E0036"/>
    <w:rsid w:val="005E15E2"/>
    <w:rsid w:val="005E4FE8"/>
    <w:rsid w:val="005F31CC"/>
    <w:rsid w:val="005F3839"/>
    <w:rsid w:val="005F3A36"/>
    <w:rsid w:val="005F3D2A"/>
    <w:rsid w:val="005F4FDB"/>
    <w:rsid w:val="00601CE5"/>
    <w:rsid w:val="00601ECF"/>
    <w:rsid w:val="006051A4"/>
    <w:rsid w:val="00611B4C"/>
    <w:rsid w:val="00612586"/>
    <w:rsid w:val="00616807"/>
    <w:rsid w:val="0062142E"/>
    <w:rsid w:val="00621C58"/>
    <w:rsid w:val="00622A1E"/>
    <w:rsid w:val="00626522"/>
    <w:rsid w:val="00626879"/>
    <w:rsid w:val="00634835"/>
    <w:rsid w:val="0063492D"/>
    <w:rsid w:val="0063558D"/>
    <w:rsid w:val="00643792"/>
    <w:rsid w:val="006441F1"/>
    <w:rsid w:val="0064428D"/>
    <w:rsid w:val="00644A1D"/>
    <w:rsid w:val="00645A69"/>
    <w:rsid w:val="0065074B"/>
    <w:rsid w:val="0065125D"/>
    <w:rsid w:val="00661FDC"/>
    <w:rsid w:val="006656A4"/>
    <w:rsid w:val="00666889"/>
    <w:rsid w:val="00666AA4"/>
    <w:rsid w:val="00672679"/>
    <w:rsid w:val="00672A57"/>
    <w:rsid w:val="00673732"/>
    <w:rsid w:val="00673E03"/>
    <w:rsid w:val="006741F1"/>
    <w:rsid w:val="00677135"/>
    <w:rsid w:val="00677395"/>
    <w:rsid w:val="00680AB4"/>
    <w:rsid w:val="006862F6"/>
    <w:rsid w:val="00686E4B"/>
    <w:rsid w:val="006911A1"/>
    <w:rsid w:val="00694C30"/>
    <w:rsid w:val="006A0D55"/>
    <w:rsid w:val="006A2CBF"/>
    <w:rsid w:val="006A5AC3"/>
    <w:rsid w:val="006A695B"/>
    <w:rsid w:val="006A6F91"/>
    <w:rsid w:val="006B0F3A"/>
    <w:rsid w:val="006B5532"/>
    <w:rsid w:val="006B63B9"/>
    <w:rsid w:val="006C2043"/>
    <w:rsid w:val="006C301C"/>
    <w:rsid w:val="006D0167"/>
    <w:rsid w:val="006D08B0"/>
    <w:rsid w:val="006D60F6"/>
    <w:rsid w:val="006E28F9"/>
    <w:rsid w:val="006E2A34"/>
    <w:rsid w:val="006E4A12"/>
    <w:rsid w:val="006F35CF"/>
    <w:rsid w:val="006F3846"/>
    <w:rsid w:val="006F4257"/>
    <w:rsid w:val="006F4CD4"/>
    <w:rsid w:val="0070074C"/>
    <w:rsid w:val="0070402D"/>
    <w:rsid w:val="00705440"/>
    <w:rsid w:val="00707897"/>
    <w:rsid w:val="007101E0"/>
    <w:rsid w:val="007106FA"/>
    <w:rsid w:val="007107F1"/>
    <w:rsid w:val="00711E33"/>
    <w:rsid w:val="007120CE"/>
    <w:rsid w:val="00712DD0"/>
    <w:rsid w:val="00712FFC"/>
    <w:rsid w:val="00715DAB"/>
    <w:rsid w:val="00716952"/>
    <w:rsid w:val="00722987"/>
    <w:rsid w:val="00730344"/>
    <w:rsid w:val="00732ECC"/>
    <w:rsid w:val="0073550E"/>
    <w:rsid w:val="00735673"/>
    <w:rsid w:val="00737502"/>
    <w:rsid w:val="00745994"/>
    <w:rsid w:val="0074678B"/>
    <w:rsid w:val="00746D4B"/>
    <w:rsid w:val="007519CB"/>
    <w:rsid w:val="0075568D"/>
    <w:rsid w:val="007563C1"/>
    <w:rsid w:val="00757A88"/>
    <w:rsid w:val="00760069"/>
    <w:rsid w:val="00762B2E"/>
    <w:rsid w:val="0077029D"/>
    <w:rsid w:val="00770D23"/>
    <w:rsid w:val="00772A20"/>
    <w:rsid w:val="007765A0"/>
    <w:rsid w:val="00785BC6"/>
    <w:rsid w:val="007900D2"/>
    <w:rsid w:val="007A0194"/>
    <w:rsid w:val="007A15EC"/>
    <w:rsid w:val="007A2293"/>
    <w:rsid w:val="007A5D3C"/>
    <w:rsid w:val="007A66B7"/>
    <w:rsid w:val="007A7D75"/>
    <w:rsid w:val="007B13B5"/>
    <w:rsid w:val="007B53F6"/>
    <w:rsid w:val="007B6C31"/>
    <w:rsid w:val="007C00B6"/>
    <w:rsid w:val="007C5026"/>
    <w:rsid w:val="007C7DC7"/>
    <w:rsid w:val="007D00A6"/>
    <w:rsid w:val="007D5A85"/>
    <w:rsid w:val="007E0640"/>
    <w:rsid w:val="007E1F9E"/>
    <w:rsid w:val="007E3E2C"/>
    <w:rsid w:val="007F0CE5"/>
    <w:rsid w:val="007F2A58"/>
    <w:rsid w:val="007F4D6F"/>
    <w:rsid w:val="007F6ACC"/>
    <w:rsid w:val="007F7195"/>
    <w:rsid w:val="007F7719"/>
    <w:rsid w:val="00803C03"/>
    <w:rsid w:val="00805C96"/>
    <w:rsid w:val="00812CF9"/>
    <w:rsid w:val="00816856"/>
    <w:rsid w:val="00816F7B"/>
    <w:rsid w:val="00817773"/>
    <w:rsid w:val="00820D4A"/>
    <w:rsid w:val="008240F1"/>
    <w:rsid w:val="00824C94"/>
    <w:rsid w:val="00827EDA"/>
    <w:rsid w:val="00831101"/>
    <w:rsid w:val="00832790"/>
    <w:rsid w:val="00833990"/>
    <w:rsid w:val="008339D7"/>
    <w:rsid w:val="00834A36"/>
    <w:rsid w:val="00846033"/>
    <w:rsid w:val="00852AA0"/>
    <w:rsid w:val="00853086"/>
    <w:rsid w:val="00864A1F"/>
    <w:rsid w:val="00872436"/>
    <w:rsid w:val="008734BC"/>
    <w:rsid w:val="00873CE5"/>
    <w:rsid w:val="0087432F"/>
    <w:rsid w:val="008744BE"/>
    <w:rsid w:val="00874A97"/>
    <w:rsid w:val="0087553B"/>
    <w:rsid w:val="00875674"/>
    <w:rsid w:val="00877B82"/>
    <w:rsid w:val="00881A5C"/>
    <w:rsid w:val="00883513"/>
    <w:rsid w:val="00886CBF"/>
    <w:rsid w:val="00890814"/>
    <w:rsid w:val="00891CDE"/>
    <w:rsid w:val="008928B2"/>
    <w:rsid w:val="00894746"/>
    <w:rsid w:val="008A0327"/>
    <w:rsid w:val="008A0B55"/>
    <w:rsid w:val="008A1279"/>
    <w:rsid w:val="008A2E9B"/>
    <w:rsid w:val="008A32A0"/>
    <w:rsid w:val="008A3686"/>
    <w:rsid w:val="008A38DB"/>
    <w:rsid w:val="008A43FA"/>
    <w:rsid w:val="008A4A59"/>
    <w:rsid w:val="008A4FF5"/>
    <w:rsid w:val="008B0E7A"/>
    <w:rsid w:val="008B2D1A"/>
    <w:rsid w:val="008B37A2"/>
    <w:rsid w:val="008B5CD1"/>
    <w:rsid w:val="008B76B7"/>
    <w:rsid w:val="008B7D89"/>
    <w:rsid w:val="008C183B"/>
    <w:rsid w:val="008C38CE"/>
    <w:rsid w:val="008C685C"/>
    <w:rsid w:val="008C6EE5"/>
    <w:rsid w:val="008C7978"/>
    <w:rsid w:val="008D3D7D"/>
    <w:rsid w:val="008D4CEE"/>
    <w:rsid w:val="008E0FF2"/>
    <w:rsid w:val="008E1363"/>
    <w:rsid w:val="008E1606"/>
    <w:rsid w:val="008E195A"/>
    <w:rsid w:val="008E2EAF"/>
    <w:rsid w:val="008E62D5"/>
    <w:rsid w:val="008E748D"/>
    <w:rsid w:val="008F1904"/>
    <w:rsid w:val="008F5A57"/>
    <w:rsid w:val="008F5FBD"/>
    <w:rsid w:val="008F71FA"/>
    <w:rsid w:val="008F75E7"/>
    <w:rsid w:val="00904506"/>
    <w:rsid w:val="00913268"/>
    <w:rsid w:val="00913724"/>
    <w:rsid w:val="00915F7A"/>
    <w:rsid w:val="0092077E"/>
    <w:rsid w:val="009233E4"/>
    <w:rsid w:val="0092636E"/>
    <w:rsid w:val="00926499"/>
    <w:rsid w:val="00926500"/>
    <w:rsid w:val="009308DE"/>
    <w:rsid w:val="00934729"/>
    <w:rsid w:val="0093595E"/>
    <w:rsid w:val="009364C5"/>
    <w:rsid w:val="00936A6C"/>
    <w:rsid w:val="0094219B"/>
    <w:rsid w:val="009422FB"/>
    <w:rsid w:val="00943B49"/>
    <w:rsid w:val="00945FE4"/>
    <w:rsid w:val="0094703A"/>
    <w:rsid w:val="00947CC4"/>
    <w:rsid w:val="00952E17"/>
    <w:rsid w:val="00953F88"/>
    <w:rsid w:val="00954B90"/>
    <w:rsid w:val="009570A9"/>
    <w:rsid w:val="00962505"/>
    <w:rsid w:val="009630AF"/>
    <w:rsid w:val="00966478"/>
    <w:rsid w:val="00970B3E"/>
    <w:rsid w:val="00975CA2"/>
    <w:rsid w:val="00980D49"/>
    <w:rsid w:val="00980DD0"/>
    <w:rsid w:val="0098167E"/>
    <w:rsid w:val="009842FC"/>
    <w:rsid w:val="009930AA"/>
    <w:rsid w:val="009942D7"/>
    <w:rsid w:val="00996806"/>
    <w:rsid w:val="00996973"/>
    <w:rsid w:val="009A0E4D"/>
    <w:rsid w:val="009A4FF3"/>
    <w:rsid w:val="009A6658"/>
    <w:rsid w:val="009A677C"/>
    <w:rsid w:val="009A6F75"/>
    <w:rsid w:val="009B05A6"/>
    <w:rsid w:val="009B1729"/>
    <w:rsid w:val="009B6110"/>
    <w:rsid w:val="009B6811"/>
    <w:rsid w:val="009B6FC7"/>
    <w:rsid w:val="009D0886"/>
    <w:rsid w:val="009D48ED"/>
    <w:rsid w:val="009D52ED"/>
    <w:rsid w:val="009D569E"/>
    <w:rsid w:val="009D64A0"/>
    <w:rsid w:val="009E16B0"/>
    <w:rsid w:val="009E222F"/>
    <w:rsid w:val="009E5216"/>
    <w:rsid w:val="009F7C6C"/>
    <w:rsid w:val="00A00CB3"/>
    <w:rsid w:val="00A01764"/>
    <w:rsid w:val="00A023F9"/>
    <w:rsid w:val="00A032C1"/>
    <w:rsid w:val="00A0394E"/>
    <w:rsid w:val="00A043FF"/>
    <w:rsid w:val="00A15F26"/>
    <w:rsid w:val="00A20557"/>
    <w:rsid w:val="00A220FD"/>
    <w:rsid w:val="00A25EC1"/>
    <w:rsid w:val="00A34C8C"/>
    <w:rsid w:val="00A3528A"/>
    <w:rsid w:val="00A41B3F"/>
    <w:rsid w:val="00A4474C"/>
    <w:rsid w:val="00A44763"/>
    <w:rsid w:val="00A458CA"/>
    <w:rsid w:val="00A47DC2"/>
    <w:rsid w:val="00A5060B"/>
    <w:rsid w:val="00A51287"/>
    <w:rsid w:val="00A51470"/>
    <w:rsid w:val="00A55B6B"/>
    <w:rsid w:val="00A576F2"/>
    <w:rsid w:val="00A62D5A"/>
    <w:rsid w:val="00A64613"/>
    <w:rsid w:val="00A6587A"/>
    <w:rsid w:val="00A660B8"/>
    <w:rsid w:val="00A67138"/>
    <w:rsid w:val="00A7255E"/>
    <w:rsid w:val="00A87BAF"/>
    <w:rsid w:val="00A90DCE"/>
    <w:rsid w:val="00A9204F"/>
    <w:rsid w:val="00A92FE8"/>
    <w:rsid w:val="00AA0008"/>
    <w:rsid w:val="00AA15C3"/>
    <w:rsid w:val="00AA3415"/>
    <w:rsid w:val="00AA5732"/>
    <w:rsid w:val="00AA5F45"/>
    <w:rsid w:val="00AA6D57"/>
    <w:rsid w:val="00AA754C"/>
    <w:rsid w:val="00AB1083"/>
    <w:rsid w:val="00AB6DE3"/>
    <w:rsid w:val="00AC3033"/>
    <w:rsid w:val="00AC38EE"/>
    <w:rsid w:val="00AD044F"/>
    <w:rsid w:val="00AD25D7"/>
    <w:rsid w:val="00AD57A3"/>
    <w:rsid w:val="00AD5C9E"/>
    <w:rsid w:val="00AE0DFD"/>
    <w:rsid w:val="00AE23A8"/>
    <w:rsid w:val="00AE3E22"/>
    <w:rsid w:val="00AE5AA0"/>
    <w:rsid w:val="00AF1886"/>
    <w:rsid w:val="00AF3395"/>
    <w:rsid w:val="00AF35F7"/>
    <w:rsid w:val="00AF5308"/>
    <w:rsid w:val="00AF5B4D"/>
    <w:rsid w:val="00B00F1E"/>
    <w:rsid w:val="00B0376A"/>
    <w:rsid w:val="00B04A31"/>
    <w:rsid w:val="00B05D20"/>
    <w:rsid w:val="00B0677E"/>
    <w:rsid w:val="00B07083"/>
    <w:rsid w:val="00B13B18"/>
    <w:rsid w:val="00B145FC"/>
    <w:rsid w:val="00B22826"/>
    <w:rsid w:val="00B229D4"/>
    <w:rsid w:val="00B23627"/>
    <w:rsid w:val="00B24604"/>
    <w:rsid w:val="00B30BFB"/>
    <w:rsid w:val="00B345FE"/>
    <w:rsid w:val="00B4358C"/>
    <w:rsid w:val="00B43E14"/>
    <w:rsid w:val="00B43EF5"/>
    <w:rsid w:val="00B510CE"/>
    <w:rsid w:val="00B51391"/>
    <w:rsid w:val="00B519E7"/>
    <w:rsid w:val="00B531B5"/>
    <w:rsid w:val="00B53C1F"/>
    <w:rsid w:val="00B54DA6"/>
    <w:rsid w:val="00B62D3D"/>
    <w:rsid w:val="00B62D81"/>
    <w:rsid w:val="00B674FA"/>
    <w:rsid w:val="00B70489"/>
    <w:rsid w:val="00B7573D"/>
    <w:rsid w:val="00B77675"/>
    <w:rsid w:val="00B800B4"/>
    <w:rsid w:val="00B82B6B"/>
    <w:rsid w:val="00B861B1"/>
    <w:rsid w:val="00B901CF"/>
    <w:rsid w:val="00B91F00"/>
    <w:rsid w:val="00B95AC7"/>
    <w:rsid w:val="00BA3BF1"/>
    <w:rsid w:val="00BA540B"/>
    <w:rsid w:val="00BA6AE2"/>
    <w:rsid w:val="00BA7996"/>
    <w:rsid w:val="00BB2358"/>
    <w:rsid w:val="00BB2C09"/>
    <w:rsid w:val="00BB7097"/>
    <w:rsid w:val="00BC1186"/>
    <w:rsid w:val="00BC40C8"/>
    <w:rsid w:val="00BC6E25"/>
    <w:rsid w:val="00BC7B20"/>
    <w:rsid w:val="00BD1CEA"/>
    <w:rsid w:val="00BD6A70"/>
    <w:rsid w:val="00BD6C4F"/>
    <w:rsid w:val="00BD6C79"/>
    <w:rsid w:val="00BD7505"/>
    <w:rsid w:val="00BE132A"/>
    <w:rsid w:val="00BE26AF"/>
    <w:rsid w:val="00BE4F90"/>
    <w:rsid w:val="00BE57C1"/>
    <w:rsid w:val="00BE66A7"/>
    <w:rsid w:val="00BE7AC2"/>
    <w:rsid w:val="00BF1452"/>
    <w:rsid w:val="00BF28DF"/>
    <w:rsid w:val="00BF760D"/>
    <w:rsid w:val="00C04238"/>
    <w:rsid w:val="00C04E9F"/>
    <w:rsid w:val="00C04EFB"/>
    <w:rsid w:val="00C05FC3"/>
    <w:rsid w:val="00C07B06"/>
    <w:rsid w:val="00C10300"/>
    <w:rsid w:val="00C110A1"/>
    <w:rsid w:val="00C11D26"/>
    <w:rsid w:val="00C1389D"/>
    <w:rsid w:val="00C14E11"/>
    <w:rsid w:val="00C166BB"/>
    <w:rsid w:val="00C173C9"/>
    <w:rsid w:val="00C23023"/>
    <w:rsid w:val="00C2538D"/>
    <w:rsid w:val="00C25ACC"/>
    <w:rsid w:val="00C26317"/>
    <w:rsid w:val="00C26D7C"/>
    <w:rsid w:val="00C27334"/>
    <w:rsid w:val="00C316A0"/>
    <w:rsid w:val="00C31C4F"/>
    <w:rsid w:val="00C32FB4"/>
    <w:rsid w:val="00C349DB"/>
    <w:rsid w:val="00C34E28"/>
    <w:rsid w:val="00C364D6"/>
    <w:rsid w:val="00C36868"/>
    <w:rsid w:val="00C3799D"/>
    <w:rsid w:val="00C41F09"/>
    <w:rsid w:val="00C519CA"/>
    <w:rsid w:val="00C5239C"/>
    <w:rsid w:val="00C6222A"/>
    <w:rsid w:val="00C62286"/>
    <w:rsid w:val="00C712B3"/>
    <w:rsid w:val="00C73D0F"/>
    <w:rsid w:val="00C77B71"/>
    <w:rsid w:val="00C86616"/>
    <w:rsid w:val="00C86927"/>
    <w:rsid w:val="00C87E03"/>
    <w:rsid w:val="00C916D1"/>
    <w:rsid w:val="00C92EC2"/>
    <w:rsid w:val="00C94B52"/>
    <w:rsid w:val="00C95404"/>
    <w:rsid w:val="00C95932"/>
    <w:rsid w:val="00C95CD2"/>
    <w:rsid w:val="00C96E62"/>
    <w:rsid w:val="00CA0728"/>
    <w:rsid w:val="00CA07AC"/>
    <w:rsid w:val="00CB53CC"/>
    <w:rsid w:val="00CB6264"/>
    <w:rsid w:val="00CC0430"/>
    <w:rsid w:val="00CC0A87"/>
    <w:rsid w:val="00CC20F0"/>
    <w:rsid w:val="00CC32D9"/>
    <w:rsid w:val="00CC35AC"/>
    <w:rsid w:val="00CC47CD"/>
    <w:rsid w:val="00CD0674"/>
    <w:rsid w:val="00CD0A25"/>
    <w:rsid w:val="00CD1ACD"/>
    <w:rsid w:val="00CD6EEB"/>
    <w:rsid w:val="00CE2207"/>
    <w:rsid w:val="00CE39AC"/>
    <w:rsid w:val="00CE477B"/>
    <w:rsid w:val="00CE6791"/>
    <w:rsid w:val="00CF1E4B"/>
    <w:rsid w:val="00CF2448"/>
    <w:rsid w:val="00D00236"/>
    <w:rsid w:val="00D01652"/>
    <w:rsid w:val="00D03536"/>
    <w:rsid w:val="00D043E5"/>
    <w:rsid w:val="00D07F28"/>
    <w:rsid w:val="00D175F8"/>
    <w:rsid w:val="00D273BB"/>
    <w:rsid w:val="00D31907"/>
    <w:rsid w:val="00D32D2B"/>
    <w:rsid w:val="00D33025"/>
    <w:rsid w:val="00D3695A"/>
    <w:rsid w:val="00D43097"/>
    <w:rsid w:val="00D51AA9"/>
    <w:rsid w:val="00D5454C"/>
    <w:rsid w:val="00D6294A"/>
    <w:rsid w:val="00D64D72"/>
    <w:rsid w:val="00D657FE"/>
    <w:rsid w:val="00D65D68"/>
    <w:rsid w:val="00D67A90"/>
    <w:rsid w:val="00D7059D"/>
    <w:rsid w:val="00D74943"/>
    <w:rsid w:val="00D803C7"/>
    <w:rsid w:val="00D8400F"/>
    <w:rsid w:val="00D90936"/>
    <w:rsid w:val="00D9534F"/>
    <w:rsid w:val="00D95864"/>
    <w:rsid w:val="00DA1685"/>
    <w:rsid w:val="00DA672C"/>
    <w:rsid w:val="00DB3405"/>
    <w:rsid w:val="00DB5953"/>
    <w:rsid w:val="00DB676C"/>
    <w:rsid w:val="00DC1CEF"/>
    <w:rsid w:val="00DC2B5C"/>
    <w:rsid w:val="00DC5835"/>
    <w:rsid w:val="00DD1D4D"/>
    <w:rsid w:val="00DD33AF"/>
    <w:rsid w:val="00DD5AAA"/>
    <w:rsid w:val="00DD6149"/>
    <w:rsid w:val="00DE16F3"/>
    <w:rsid w:val="00DE2616"/>
    <w:rsid w:val="00DE6D5F"/>
    <w:rsid w:val="00DF1182"/>
    <w:rsid w:val="00DF22D9"/>
    <w:rsid w:val="00DF5BC4"/>
    <w:rsid w:val="00DF6D38"/>
    <w:rsid w:val="00E021CE"/>
    <w:rsid w:val="00E05619"/>
    <w:rsid w:val="00E070E9"/>
    <w:rsid w:val="00E12513"/>
    <w:rsid w:val="00E14F03"/>
    <w:rsid w:val="00E167E9"/>
    <w:rsid w:val="00E17F08"/>
    <w:rsid w:val="00E22847"/>
    <w:rsid w:val="00E22B5E"/>
    <w:rsid w:val="00E2417F"/>
    <w:rsid w:val="00E247EC"/>
    <w:rsid w:val="00E27420"/>
    <w:rsid w:val="00E31177"/>
    <w:rsid w:val="00E32F60"/>
    <w:rsid w:val="00E44419"/>
    <w:rsid w:val="00E4497E"/>
    <w:rsid w:val="00E44CBE"/>
    <w:rsid w:val="00E453BD"/>
    <w:rsid w:val="00E46F99"/>
    <w:rsid w:val="00E52F24"/>
    <w:rsid w:val="00E535F7"/>
    <w:rsid w:val="00E54D55"/>
    <w:rsid w:val="00E61E62"/>
    <w:rsid w:val="00E64C0D"/>
    <w:rsid w:val="00E6615F"/>
    <w:rsid w:val="00E72F1D"/>
    <w:rsid w:val="00E76679"/>
    <w:rsid w:val="00E77598"/>
    <w:rsid w:val="00E822BE"/>
    <w:rsid w:val="00E93636"/>
    <w:rsid w:val="00E951EA"/>
    <w:rsid w:val="00E97453"/>
    <w:rsid w:val="00E979B3"/>
    <w:rsid w:val="00EA1B84"/>
    <w:rsid w:val="00EA1FB7"/>
    <w:rsid w:val="00EA23C4"/>
    <w:rsid w:val="00EA36F8"/>
    <w:rsid w:val="00EA3AFC"/>
    <w:rsid w:val="00EA47F4"/>
    <w:rsid w:val="00EB0A06"/>
    <w:rsid w:val="00EB4046"/>
    <w:rsid w:val="00EB49A8"/>
    <w:rsid w:val="00EB5DCF"/>
    <w:rsid w:val="00EC14F3"/>
    <w:rsid w:val="00EC5465"/>
    <w:rsid w:val="00EC73D9"/>
    <w:rsid w:val="00ED1DED"/>
    <w:rsid w:val="00ED31CA"/>
    <w:rsid w:val="00ED3ADE"/>
    <w:rsid w:val="00ED5C6B"/>
    <w:rsid w:val="00ED6A92"/>
    <w:rsid w:val="00ED709B"/>
    <w:rsid w:val="00ED779E"/>
    <w:rsid w:val="00EE0235"/>
    <w:rsid w:val="00EE665D"/>
    <w:rsid w:val="00EF1F52"/>
    <w:rsid w:val="00EF36DE"/>
    <w:rsid w:val="00EF3EE2"/>
    <w:rsid w:val="00EF6E3E"/>
    <w:rsid w:val="00EF7B29"/>
    <w:rsid w:val="00F01934"/>
    <w:rsid w:val="00F029AF"/>
    <w:rsid w:val="00F039EB"/>
    <w:rsid w:val="00F03DB7"/>
    <w:rsid w:val="00F12246"/>
    <w:rsid w:val="00F1702A"/>
    <w:rsid w:val="00F20CAF"/>
    <w:rsid w:val="00F2190A"/>
    <w:rsid w:val="00F22737"/>
    <w:rsid w:val="00F23110"/>
    <w:rsid w:val="00F25567"/>
    <w:rsid w:val="00F30736"/>
    <w:rsid w:val="00F30742"/>
    <w:rsid w:val="00F31BCB"/>
    <w:rsid w:val="00F3207F"/>
    <w:rsid w:val="00F33976"/>
    <w:rsid w:val="00F350DF"/>
    <w:rsid w:val="00F3523A"/>
    <w:rsid w:val="00F352AE"/>
    <w:rsid w:val="00F371D1"/>
    <w:rsid w:val="00F414AB"/>
    <w:rsid w:val="00F42134"/>
    <w:rsid w:val="00F4288E"/>
    <w:rsid w:val="00F43211"/>
    <w:rsid w:val="00F43DE5"/>
    <w:rsid w:val="00F44255"/>
    <w:rsid w:val="00F444CE"/>
    <w:rsid w:val="00F453F9"/>
    <w:rsid w:val="00F45686"/>
    <w:rsid w:val="00F45C76"/>
    <w:rsid w:val="00F47191"/>
    <w:rsid w:val="00F51652"/>
    <w:rsid w:val="00F54885"/>
    <w:rsid w:val="00F55FA0"/>
    <w:rsid w:val="00F56A2B"/>
    <w:rsid w:val="00F57202"/>
    <w:rsid w:val="00F619D4"/>
    <w:rsid w:val="00F65272"/>
    <w:rsid w:val="00F7075F"/>
    <w:rsid w:val="00F72C35"/>
    <w:rsid w:val="00F73432"/>
    <w:rsid w:val="00F73AB8"/>
    <w:rsid w:val="00F74EB5"/>
    <w:rsid w:val="00F8051A"/>
    <w:rsid w:val="00F832CA"/>
    <w:rsid w:val="00F84FC4"/>
    <w:rsid w:val="00F85D89"/>
    <w:rsid w:val="00F91399"/>
    <w:rsid w:val="00F91466"/>
    <w:rsid w:val="00F96E56"/>
    <w:rsid w:val="00FA14CA"/>
    <w:rsid w:val="00FA2FF9"/>
    <w:rsid w:val="00FA38D4"/>
    <w:rsid w:val="00FA7663"/>
    <w:rsid w:val="00FA7F52"/>
    <w:rsid w:val="00FB2764"/>
    <w:rsid w:val="00FB4549"/>
    <w:rsid w:val="00FB55EB"/>
    <w:rsid w:val="00FB6958"/>
    <w:rsid w:val="00FB6C28"/>
    <w:rsid w:val="00FB712B"/>
    <w:rsid w:val="00FB721B"/>
    <w:rsid w:val="00FC4315"/>
    <w:rsid w:val="00FD157E"/>
    <w:rsid w:val="00FD49F7"/>
    <w:rsid w:val="00FD6C30"/>
    <w:rsid w:val="00FE2145"/>
    <w:rsid w:val="00FE2151"/>
    <w:rsid w:val="00FE370F"/>
    <w:rsid w:val="00FE5800"/>
    <w:rsid w:val="00FE7B65"/>
    <w:rsid w:val="00FF0177"/>
    <w:rsid w:val="00FF1826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AB8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F73AB8"/>
    <w:rPr>
      <w:rFonts w:cs="Times New Roman"/>
      <w:vertAlign w:val="superscript"/>
    </w:rPr>
  </w:style>
  <w:style w:type="character" w:customStyle="1" w:styleId="InternetLink">
    <w:name w:val="Internet Link"/>
    <w:basedOn w:val="a0"/>
    <w:rsid w:val="00F73AB8"/>
    <w:rPr>
      <w:rFonts w:cs="Times New Roman"/>
      <w:color w:val="0000FF"/>
      <w:u w:val="single"/>
      <w:lang w:val="en-US" w:eastAsia="en-US" w:bidi="en-US"/>
    </w:rPr>
  </w:style>
  <w:style w:type="character" w:customStyle="1" w:styleId="st">
    <w:name w:val="st"/>
    <w:basedOn w:val="a0"/>
    <w:rsid w:val="00F73AB8"/>
    <w:rPr>
      <w:rFonts w:cs="Times New Roman"/>
    </w:rPr>
  </w:style>
  <w:style w:type="character" w:styleId="a4">
    <w:name w:val="Emphasis"/>
    <w:basedOn w:val="a0"/>
    <w:rsid w:val="00F73AB8"/>
    <w:rPr>
      <w:rFonts w:cs="Times New Roman"/>
      <w:i/>
      <w:iCs/>
    </w:rPr>
  </w:style>
  <w:style w:type="character" w:customStyle="1" w:styleId="Footnoteanchor">
    <w:name w:val="Footnote anchor"/>
    <w:rsid w:val="00F73AB8"/>
    <w:rPr>
      <w:vertAlign w:val="superscript"/>
    </w:rPr>
  </w:style>
  <w:style w:type="paragraph" w:styleId="a5">
    <w:name w:val="footnote text"/>
    <w:basedOn w:val="a"/>
    <w:link w:val="a6"/>
    <w:uiPriority w:val="99"/>
    <w:rsid w:val="00F73AB8"/>
    <w:pPr>
      <w:spacing w:after="0" w:line="100" w:lineRule="atLeas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73AB8"/>
    <w:rPr>
      <w:rFonts w:ascii="Arial" w:eastAsia="Calibri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F73AB8"/>
    <w:pPr>
      <w:ind w:left="720"/>
      <w:contextualSpacing/>
    </w:pPr>
  </w:style>
  <w:style w:type="paragraph" w:customStyle="1" w:styleId="Footer">
    <w:name w:val="Footer"/>
    <w:basedOn w:val="a"/>
    <w:rsid w:val="00F73AB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FR1">
    <w:name w:val="FR1"/>
    <w:rsid w:val="00F73AB8"/>
    <w:pPr>
      <w:widowControl w:val="0"/>
      <w:suppressAutoHyphens/>
      <w:spacing w:before="480" w:line="276" w:lineRule="auto"/>
      <w:ind w:left="1680" w:right="200" w:firstLine="567"/>
      <w:jc w:val="center"/>
    </w:pPr>
    <w:rPr>
      <w:rFonts w:ascii="Times New Roman" w:eastAsia="Times New Roman" w:hAnsi="Times New Roman"/>
      <w:b/>
      <w:sz w:val="40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F73AB8"/>
    <w:pPr>
      <w:suppressAutoHyphens w:val="0"/>
      <w:ind w:left="-851"/>
      <w:jc w:val="both"/>
    </w:pPr>
    <w:rPr>
      <w:rFonts w:ascii="Times New Roman" w:eastAsia="SimSun" w:hAnsi="Times New Roman" w:cs="Times New Roman"/>
      <w:b/>
      <w:color w:val="auto"/>
      <w:sz w:val="28"/>
      <w:szCs w:val="28"/>
      <w:lang w:eastAsia="zh-CN"/>
    </w:rPr>
  </w:style>
  <w:style w:type="paragraph" w:styleId="2">
    <w:name w:val="toc 2"/>
    <w:basedOn w:val="a"/>
    <w:next w:val="a"/>
    <w:autoRedefine/>
    <w:uiPriority w:val="39"/>
    <w:unhideWhenUsed/>
    <w:qFormat/>
    <w:rsid w:val="00F73AB8"/>
    <w:pPr>
      <w:tabs>
        <w:tab w:val="right" w:leader="dot" w:pos="9344"/>
      </w:tabs>
      <w:suppressAutoHyphens w:val="0"/>
      <w:jc w:val="both"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3">
    <w:name w:val="toc 3"/>
    <w:basedOn w:val="a"/>
    <w:next w:val="a"/>
    <w:autoRedefine/>
    <w:uiPriority w:val="39"/>
    <w:unhideWhenUsed/>
    <w:qFormat/>
    <w:rsid w:val="00C3799D"/>
    <w:pPr>
      <w:numPr>
        <w:ilvl w:val="1"/>
        <w:numId w:val="12"/>
      </w:numPr>
      <w:suppressAutoHyphens w:val="0"/>
      <w:spacing w:after="100"/>
      <w:ind w:left="709" w:firstLine="0"/>
      <w:jc w:val="both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73A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F73AB8"/>
    <w:pPr>
      <w:suppressAutoHyphens w:val="0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F7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B8"/>
    <w:rPr>
      <w:rFonts w:ascii="Tahoma" w:eastAsia="Calibri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6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2B2E"/>
    <w:rPr>
      <w:rFonts w:ascii="Arial" w:hAnsi="Arial" w:cs="Arial"/>
      <w:color w:val="000000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6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2B2E"/>
    <w:rPr>
      <w:rFonts w:ascii="Arial" w:hAnsi="Arial" w:cs="Arial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ED709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64C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E64C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64C0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E64C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091B0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1">
    <w:name w:val="Normal (Web)"/>
    <w:basedOn w:val="a"/>
    <w:uiPriority w:val="99"/>
    <w:semiHidden/>
    <w:unhideWhenUsed/>
    <w:rsid w:val="005A43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HTML">
    <w:name w:val="HTML Acronym"/>
    <w:basedOn w:val="a0"/>
    <w:uiPriority w:val="99"/>
    <w:semiHidden/>
    <w:unhideWhenUsed/>
    <w:rsid w:val="005A43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3CC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3C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3CC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3C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40">
      <w:bodyDiv w:val="1"/>
      <w:marLeft w:val="1674"/>
      <w:marRight w:val="0"/>
      <w:marTop w:val="17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4">
              <w:marLeft w:val="0"/>
              <w:marRight w:val="0"/>
              <w:marTop w:val="251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921">
              <w:marLeft w:val="5442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worldban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ata.worldbank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p.tu-bryansk.ru/doc/any/10.pdf" TargetMode="External"/><Relationship Id="rId1" Type="http://schemas.openxmlformats.org/officeDocument/2006/relationships/hyperlink" Target="http://www.microsoft.com/ru/ru/government/magazin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msung\&#1056;&#1072;&#1073;&#1086;&#1095;&#1080;&#1081;%20&#1089;&#1090;&#1086;&#1083;\salome\diplodok\GB.XPD.RSDV.GD.ZS_Indicator_MetaData_en_EXCEL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msung\&#1056;&#1072;&#1073;&#1086;&#1095;&#1080;&#1081;%20&#1089;&#1090;&#1086;&#1083;\salome\diplodok\GB.XPD.RSDV.GD.ZS_Indicator_MetaData_en_EXCEL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Расходы Великобритании на НИОКР, % от ВВП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расходы на НИОКР, % от ВВП</c:v>
          </c:tx>
          <c:cat>
            <c:strRef>
              <c:f>Лист1!$C$1:$S$1</c:f>
              <c:strCache>
                <c:ptCount val="16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</c:strCache>
            </c:strRef>
          </c:cat>
          <c:val>
            <c:numRef>
              <c:f>Лист1!$C$2:$S$2</c:f>
              <c:numCache>
                <c:formatCode>General</c:formatCode>
                <c:ptCount val="17"/>
                <c:pt idx="0">
                  <c:v>1.8338899999999998</c:v>
                </c:pt>
                <c:pt idx="1">
                  <c:v>1.7658299999999942</c:v>
                </c:pt>
                <c:pt idx="2">
                  <c:v>1.7578899999999968</c:v>
                </c:pt>
                <c:pt idx="3">
                  <c:v>1.8225</c:v>
                </c:pt>
                <c:pt idx="4">
                  <c:v>1.81484</c:v>
                </c:pt>
                <c:pt idx="5">
                  <c:v>1.7898899999999998</c:v>
                </c:pt>
                <c:pt idx="6">
                  <c:v>1.7880200000000011</c:v>
                </c:pt>
                <c:pt idx="7">
                  <c:v>1.7463000000000011</c:v>
                </c:pt>
                <c:pt idx="8">
                  <c:v>1.6840200000000001</c:v>
                </c:pt>
                <c:pt idx="9">
                  <c:v>1.7285599999999999</c:v>
                </c:pt>
                <c:pt idx="10">
                  <c:v>1.7464400000000011</c:v>
                </c:pt>
                <c:pt idx="11">
                  <c:v>1.7781300000000011</c:v>
                </c:pt>
                <c:pt idx="12">
                  <c:v>1.7882500000000023</c:v>
                </c:pt>
                <c:pt idx="13">
                  <c:v>1.85555</c:v>
                </c:pt>
                <c:pt idx="14">
                  <c:v>1.7623100000000016</c:v>
                </c:pt>
                <c:pt idx="15">
                  <c:v>1.7400000000000011</c:v>
                </c:pt>
              </c:numCache>
            </c:numRef>
          </c:val>
        </c:ser>
        <c:gapWidth val="75"/>
        <c:shape val="box"/>
        <c:axId val="179899008"/>
        <c:axId val="175186304"/>
        <c:axId val="0"/>
      </c:bar3DChart>
      <c:catAx>
        <c:axId val="179899008"/>
        <c:scaling>
          <c:orientation val="minMax"/>
        </c:scaling>
        <c:axPos val="b"/>
        <c:numFmt formatCode="General" sourceLinked="1"/>
        <c:majorTickMark val="none"/>
        <c:tickLblPos val="nextTo"/>
        <c:crossAx val="175186304"/>
        <c:crosses val="autoZero"/>
        <c:auto val="1"/>
        <c:lblAlgn val="ctr"/>
        <c:lblOffset val="100"/>
      </c:catAx>
      <c:valAx>
        <c:axId val="175186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989900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13383959135899998"/>
          <c:y val="0.88850503062117625"/>
          <c:w val="0.7215039926433201"/>
          <c:h val="0.11102242758412424"/>
        </c:manualLayout>
      </c:layout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 algn="l">
              <a:defRPr sz="1400"/>
            </a:pPr>
            <a:r>
              <a:rPr lang="ru-RU" sz="1400"/>
              <a:t>Диаграмма</a:t>
            </a:r>
            <a:r>
              <a:rPr lang="ru-RU" sz="1400" baseline="0"/>
              <a:t> №1. </a:t>
            </a:r>
            <a:r>
              <a:rPr lang="ru-RU" sz="1400"/>
              <a:t>Мировые расходы на НИОКР</a:t>
            </a:r>
          </a:p>
        </c:rich>
      </c:tx>
      <c:layout>
        <c:manualLayout>
          <c:xMode val="edge"/>
          <c:yMode val="edge"/>
          <c:x val="0.2230405796440503"/>
          <c:y val="4.1638836191963385E-3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Лист2!$A$1:$A$10</c:f>
              <c:strCache>
                <c:ptCount val="10"/>
                <c:pt idx="0">
                  <c:v>США</c:v>
                </c:pt>
                <c:pt idx="1">
                  <c:v>Китай</c:v>
                </c:pt>
                <c:pt idx="2">
                  <c:v>Япония</c:v>
                </c:pt>
                <c:pt idx="3">
                  <c:v>Великобритания</c:v>
                </c:pt>
                <c:pt idx="4">
                  <c:v>Германия</c:v>
                </c:pt>
                <c:pt idx="5">
                  <c:v>Южная Корея</c:v>
                </c:pt>
                <c:pt idx="6">
                  <c:v>Франция</c:v>
                </c:pt>
                <c:pt idx="7">
                  <c:v>Канада</c:v>
                </c:pt>
                <c:pt idx="8">
                  <c:v>Россия</c:v>
                </c:pt>
                <c:pt idx="9">
                  <c:v>Другие страны</c:v>
                </c:pt>
              </c:strCache>
            </c:strRef>
          </c:cat>
          <c:val>
            <c:numRef>
              <c:f>Лист2!$B$1:$B$10</c:f>
              <c:numCache>
                <c:formatCode>General</c:formatCode>
                <c:ptCount val="10"/>
                <c:pt idx="0">
                  <c:v>2.68</c:v>
                </c:pt>
                <c:pt idx="1">
                  <c:v>1.6</c:v>
                </c:pt>
                <c:pt idx="2">
                  <c:v>3.48</c:v>
                </c:pt>
                <c:pt idx="3">
                  <c:v>1.84</c:v>
                </c:pt>
                <c:pt idx="4">
                  <c:v>2.8699999999999997</c:v>
                </c:pt>
                <c:pt idx="5">
                  <c:v>3.4499999999999997</c:v>
                </c:pt>
                <c:pt idx="6">
                  <c:v>2.2400000000000002</c:v>
                </c:pt>
                <c:pt idx="7">
                  <c:v>2</c:v>
                </c:pt>
                <c:pt idx="8">
                  <c:v>1.48</c:v>
                </c:pt>
                <c:pt idx="9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8698542616383564"/>
          <c:y val="0.1279694236515399"/>
          <c:w val="0.40155321867661276"/>
          <c:h val="0.8303970119305236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65002-0CAA-4869-BE0B-DB17C820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9794</Words>
  <Characters>55830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65494</CharactersWithSpaces>
  <SharedDoc>false</SharedDoc>
  <HLinks>
    <vt:vector size="12" baseType="variant"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http://np.tu-bryansk.ru/doc/any/10.pdf</vt:lpwstr>
      </vt:variant>
      <vt:variant>
        <vt:lpwstr/>
      </vt:variant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http://www.microsoft.com/ru/ru/government/magazine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2013-05-20T19:54:00Z</dcterms:created>
  <dcterms:modified xsi:type="dcterms:W3CDTF">2013-05-20T19:54:00Z</dcterms:modified>
</cp:coreProperties>
</file>